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613AD" w14:textId="319C2F64" w:rsidR="00827F5C" w:rsidRDefault="00807BCC" w:rsidP="00807BCC">
      <w:pPr>
        <w:tabs>
          <w:tab w:val="left" w:pos="7440"/>
        </w:tabs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ab/>
      </w:r>
    </w:p>
    <w:p w14:paraId="0B3DA034" w14:textId="5B3081C5" w:rsidR="0068439E" w:rsidRPr="00D05427" w:rsidRDefault="00D05427" w:rsidP="00D05427">
      <w:pPr>
        <w:jc w:val="center"/>
        <w:rPr>
          <w:b/>
          <w:bCs/>
          <w:sz w:val="24"/>
          <w:szCs w:val="28"/>
        </w:rPr>
      </w:pPr>
      <w:r w:rsidRPr="00D05427">
        <w:rPr>
          <w:b/>
          <w:bCs/>
          <w:sz w:val="24"/>
          <w:szCs w:val="28"/>
        </w:rPr>
        <w:t xml:space="preserve">Protokol o určení vnějších vlivů č. </w:t>
      </w:r>
      <w:r w:rsidR="00E32F15">
        <w:rPr>
          <w:b/>
          <w:bCs/>
          <w:sz w:val="24"/>
          <w:szCs w:val="28"/>
        </w:rPr>
        <w:t>202</w:t>
      </w:r>
      <w:r w:rsidR="00523116">
        <w:rPr>
          <w:b/>
          <w:bCs/>
          <w:sz w:val="24"/>
          <w:szCs w:val="28"/>
        </w:rPr>
        <w:t>5038</w:t>
      </w:r>
      <w:r w:rsidR="00E32F15">
        <w:rPr>
          <w:b/>
          <w:bCs/>
          <w:sz w:val="24"/>
          <w:szCs w:val="28"/>
        </w:rPr>
        <w:t xml:space="preserve"> příloha A1 technické zprávy</w:t>
      </w:r>
    </w:p>
    <w:p w14:paraId="59937595" w14:textId="1E592613" w:rsidR="00E32F15" w:rsidRDefault="00523116" w:rsidP="00D05427">
      <w:pPr>
        <w:jc w:val="center"/>
        <w:rPr>
          <w:b/>
          <w:bCs/>
          <w:sz w:val="24"/>
          <w:szCs w:val="28"/>
        </w:rPr>
      </w:pPr>
      <w:r w:rsidRPr="00523116">
        <w:rPr>
          <w:b/>
          <w:bCs/>
          <w:sz w:val="24"/>
          <w:szCs w:val="28"/>
        </w:rPr>
        <w:t xml:space="preserve">Chodník ulice Lesní město </w:t>
      </w:r>
      <w:proofErr w:type="gramStart"/>
      <w:r w:rsidRPr="00523116">
        <w:rPr>
          <w:b/>
          <w:bCs/>
          <w:sz w:val="24"/>
          <w:szCs w:val="28"/>
        </w:rPr>
        <w:t>Jablunkov</w:t>
      </w:r>
      <w:r w:rsidR="00963AF3">
        <w:rPr>
          <w:b/>
          <w:bCs/>
          <w:sz w:val="24"/>
          <w:szCs w:val="28"/>
        </w:rPr>
        <w:t xml:space="preserve">  -</w:t>
      </w:r>
      <w:proofErr w:type="gramEnd"/>
      <w:r w:rsidR="00963AF3">
        <w:rPr>
          <w:b/>
          <w:bCs/>
          <w:sz w:val="24"/>
          <w:szCs w:val="28"/>
        </w:rPr>
        <w:t xml:space="preserve"> část Veřejné osvětlení</w:t>
      </w:r>
    </w:p>
    <w:p w14:paraId="5637A1E3" w14:textId="13F68E24" w:rsidR="00D05427" w:rsidRPr="00E32F15" w:rsidRDefault="00D05427" w:rsidP="00D05427">
      <w:pPr>
        <w:jc w:val="center"/>
        <w:rPr>
          <w:sz w:val="24"/>
          <w:szCs w:val="28"/>
        </w:rPr>
      </w:pPr>
      <w:r w:rsidRPr="00D05427">
        <w:rPr>
          <w:b/>
          <w:bCs/>
          <w:sz w:val="24"/>
          <w:szCs w:val="28"/>
          <w:highlight w:val="yellow"/>
        </w:rPr>
        <w:br/>
      </w:r>
    </w:p>
    <w:p w14:paraId="2F4A67BE" w14:textId="77777777" w:rsidR="00D05427" w:rsidRDefault="00D05427"/>
    <w:p w14:paraId="547ABB8A" w14:textId="77777777" w:rsidR="00D05427" w:rsidRPr="00D05427" w:rsidRDefault="00D05427" w:rsidP="007F55FE">
      <w:pPr>
        <w:keepNext/>
        <w:rPr>
          <w:b/>
          <w:bCs/>
        </w:rPr>
      </w:pPr>
      <w:r w:rsidRPr="00D05427">
        <w:rPr>
          <w:b/>
          <w:bCs/>
        </w:rPr>
        <w:t>Složení komise:</w:t>
      </w:r>
    </w:p>
    <w:p w14:paraId="2AF0C477" w14:textId="77777777" w:rsidR="0029764E" w:rsidRDefault="00D05427" w:rsidP="0029764E">
      <w:pPr>
        <w:tabs>
          <w:tab w:val="left" w:pos="1701"/>
          <w:tab w:val="left" w:pos="4111"/>
          <w:tab w:val="right" w:pos="9072"/>
        </w:tabs>
        <w:spacing w:before="360"/>
      </w:pPr>
      <w:r>
        <w:t>Předseda:</w:t>
      </w:r>
      <w:r>
        <w:tab/>
      </w:r>
      <w:r w:rsidR="0029764E">
        <w:t>Aleš Stec</w:t>
      </w:r>
      <w:r w:rsidR="0029764E">
        <w:tab/>
        <w:t>silnoproud</w:t>
      </w:r>
      <w:r w:rsidR="0029764E">
        <w:tab/>
        <w:t>………………………………………….</w:t>
      </w:r>
    </w:p>
    <w:p w14:paraId="66BBF5C8" w14:textId="76C59063" w:rsidR="00D05427" w:rsidRDefault="00D05427" w:rsidP="00D05427">
      <w:pPr>
        <w:tabs>
          <w:tab w:val="left" w:pos="1701"/>
          <w:tab w:val="left" w:pos="4111"/>
          <w:tab w:val="right" w:pos="9072"/>
        </w:tabs>
        <w:spacing w:before="360"/>
      </w:pPr>
      <w:r>
        <w:t>Složení komise:</w:t>
      </w:r>
      <w:r w:rsidRPr="00D05427">
        <w:t xml:space="preserve"> </w:t>
      </w:r>
      <w:r>
        <w:tab/>
      </w:r>
      <w:r w:rsidR="00963AF3">
        <w:t>……</w:t>
      </w:r>
      <w:proofErr w:type="gramStart"/>
      <w:r w:rsidR="00963AF3">
        <w:t>…….</w:t>
      </w:r>
      <w:proofErr w:type="gramEnd"/>
      <w:r w:rsidR="00963AF3">
        <w:t>.</w:t>
      </w:r>
      <w:r>
        <w:tab/>
        <w:t>zástupce provozovatele</w:t>
      </w:r>
      <w:r>
        <w:tab/>
        <w:t>………………………………………….</w:t>
      </w:r>
    </w:p>
    <w:p w14:paraId="53D0E2A1" w14:textId="2CB227CE" w:rsidR="00D05427" w:rsidRDefault="00D05427" w:rsidP="00D05427">
      <w:pPr>
        <w:tabs>
          <w:tab w:val="left" w:pos="1701"/>
          <w:tab w:val="left" w:pos="4111"/>
          <w:tab w:val="right" w:pos="9072"/>
        </w:tabs>
        <w:spacing w:before="360"/>
      </w:pPr>
      <w:r>
        <w:tab/>
      </w:r>
    </w:p>
    <w:p w14:paraId="0F9326B0" w14:textId="46DAB26D" w:rsidR="00D05427" w:rsidRDefault="00D05427" w:rsidP="00D05427">
      <w:pPr>
        <w:tabs>
          <w:tab w:val="left" w:pos="1701"/>
          <w:tab w:val="left" w:pos="4111"/>
          <w:tab w:val="right" w:pos="9072"/>
        </w:tabs>
        <w:spacing w:before="360"/>
      </w:pPr>
      <w:r>
        <w:tab/>
      </w:r>
    </w:p>
    <w:p w14:paraId="653302EB" w14:textId="53B96A37" w:rsidR="00D05427" w:rsidRDefault="00D05427" w:rsidP="00E32F15">
      <w:pPr>
        <w:tabs>
          <w:tab w:val="left" w:pos="1701"/>
          <w:tab w:val="left" w:pos="4111"/>
          <w:tab w:val="right" w:pos="9072"/>
        </w:tabs>
        <w:spacing w:before="360"/>
      </w:pPr>
      <w:r>
        <w:tab/>
      </w:r>
      <w:r>
        <w:tab/>
      </w:r>
    </w:p>
    <w:p w14:paraId="7103D0C1" w14:textId="77777777" w:rsidR="00D05427" w:rsidRPr="00D05427" w:rsidRDefault="00D05427" w:rsidP="007F55FE">
      <w:pPr>
        <w:keepNext/>
        <w:rPr>
          <w:b/>
          <w:bCs/>
        </w:rPr>
      </w:pPr>
      <w:r w:rsidRPr="00D05427">
        <w:rPr>
          <w:b/>
          <w:bCs/>
        </w:rPr>
        <w:t>Podklady použité pro vypracování protokolu:</w:t>
      </w:r>
    </w:p>
    <w:p w14:paraId="3A6C5EB8" w14:textId="77777777" w:rsidR="00D05427" w:rsidRDefault="00D05427">
      <w:r>
        <w:t>stavební půdorysy ve stupni dokumentace pro povolení stavby</w:t>
      </w:r>
    </w:p>
    <w:p w14:paraId="393110E7" w14:textId="77777777" w:rsidR="00E32F15" w:rsidRDefault="00E32F15" w:rsidP="00E32F15">
      <w:pPr>
        <w:ind w:left="2268" w:hanging="2268"/>
        <w:rPr>
          <w:szCs w:val="20"/>
        </w:rPr>
      </w:pPr>
      <w:r>
        <w:rPr>
          <w:szCs w:val="20"/>
        </w:rPr>
        <w:t xml:space="preserve">ČSN EN 61140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>. 3</w:t>
      </w:r>
      <w:r w:rsidRPr="00141EDF">
        <w:rPr>
          <w:szCs w:val="20"/>
        </w:rPr>
        <w:tab/>
      </w:r>
      <w:r w:rsidRPr="00653F21">
        <w:rPr>
          <w:szCs w:val="20"/>
        </w:rPr>
        <w:t xml:space="preserve">Ochrana před úrazem elektrickým </w:t>
      </w:r>
      <w:proofErr w:type="gramStart"/>
      <w:r w:rsidRPr="00653F21">
        <w:rPr>
          <w:szCs w:val="20"/>
        </w:rPr>
        <w:t>proudem - Společná</w:t>
      </w:r>
      <w:proofErr w:type="gramEnd"/>
      <w:r w:rsidRPr="00653F21">
        <w:rPr>
          <w:szCs w:val="20"/>
        </w:rPr>
        <w:t xml:space="preserve"> hlediska pro instalaci a zařízení</w:t>
      </w:r>
      <w:r>
        <w:rPr>
          <w:szCs w:val="20"/>
        </w:rPr>
        <w:t xml:space="preserve"> (10.2016)</w:t>
      </w:r>
    </w:p>
    <w:p w14:paraId="2A6245CF" w14:textId="77777777" w:rsidR="00E32F15" w:rsidRDefault="00E32F15" w:rsidP="00E32F15">
      <w:pPr>
        <w:ind w:left="2268" w:hanging="2268"/>
        <w:rPr>
          <w:szCs w:val="20"/>
        </w:rPr>
      </w:pPr>
      <w:r w:rsidRPr="00141EDF">
        <w:rPr>
          <w:szCs w:val="20"/>
        </w:rPr>
        <w:t xml:space="preserve">ČSN 33 2000-1 </w:t>
      </w:r>
      <w:proofErr w:type="spellStart"/>
      <w:r w:rsidRPr="00141EDF">
        <w:rPr>
          <w:szCs w:val="20"/>
        </w:rPr>
        <w:t>ed</w:t>
      </w:r>
      <w:proofErr w:type="spellEnd"/>
      <w:r w:rsidRPr="00141EDF">
        <w:rPr>
          <w:szCs w:val="20"/>
        </w:rPr>
        <w:t>. 2</w:t>
      </w:r>
      <w:r w:rsidRPr="00141EDF">
        <w:rPr>
          <w:szCs w:val="20"/>
        </w:rPr>
        <w:tab/>
        <w:t xml:space="preserve">Elektrické instalace nízkého </w:t>
      </w:r>
      <w:proofErr w:type="gramStart"/>
      <w:r w:rsidRPr="00141EDF">
        <w:rPr>
          <w:szCs w:val="20"/>
        </w:rPr>
        <w:t>napětí - Část</w:t>
      </w:r>
      <w:proofErr w:type="gramEnd"/>
      <w:r w:rsidRPr="00141EDF">
        <w:rPr>
          <w:szCs w:val="20"/>
        </w:rPr>
        <w:t xml:space="preserve"> 1: Základní hlediska, stanovení základních charakteristik, definice</w:t>
      </w:r>
      <w:r>
        <w:rPr>
          <w:szCs w:val="20"/>
        </w:rPr>
        <w:t xml:space="preserve"> (5.2009)</w:t>
      </w:r>
    </w:p>
    <w:p w14:paraId="171CF284" w14:textId="77777777" w:rsidR="00E32F15" w:rsidRDefault="00E32F15" w:rsidP="00E32F15">
      <w:pPr>
        <w:ind w:left="2268" w:hanging="2268"/>
        <w:rPr>
          <w:szCs w:val="20"/>
        </w:rPr>
      </w:pPr>
      <w:r w:rsidRPr="00AA7A74">
        <w:rPr>
          <w:szCs w:val="20"/>
        </w:rPr>
        <w:t xml:space="preserve">ČSN 33 2000-5-51 </w:t>
      </w:r>
      <w:proofErr w:type="spellStart"/>
      <w:r w:rsidRPr="00AA7A74">
        <w:rPr>
          <w:szCs w:val="20"/>
        </w:rPr>
        <w:t>ed</w:t>
      </w:r>
      <w:proofErr w:type="spellEnd"/>
      <w:r w:rsidRPr="00AA7A74">
        <w:rPr>
          <w:szCs w:val="20"/>
        </w:rPr>
        <w:t>. 3+Z1+Z2</w:t>
      </w:r>
      <w:r w:rsidRPr="00AA7A74">
        <w:rPr>
          <w:szCs w:val="20"/>
        </w:rPr>
        <w:tab/>
        <w:t xml:space="preserve">Elektrické instalace nízkého </w:t>
      </w:r>
      <w:proofErr w:type="gramStart"/>
      <w:r w:rsidRPr="00AA7A74">
        <w:rPr>
          <w:szCs w:val="20"/>
        </w:rPr>
        <w:t>napětí - Část</w:t>
      </w:r>
      <w:proofErr w:type="gramEnd"/>
      <w:r w:rsidRPr="00AA7A74">
        <w:rPr>
          <w:szCs w:val="20"/>
        </w:rPr>
        <w:t xml:space="preserve"> 5-51: Výběr a stavba elektrických </w:t>
      </w:r>
      <w:proofErr w:type="gramStart"/>
      <w:r w:rsidRPr="00AA7A74">
        <w:rPr>
          <w:szCs w:val="20"/>
        </w:rPr>
        <w:t>zařízení - Obecné</w:t>
      </w:r>
      <w:proofErr w:type="gramEnd"/>
      <w:r w:rsidRPr="00AA7A74">
        <w:rPr>
          <w:szCs w:val="20"/>
        </w:rPr>
        <w:t xml:space="preserve"> předpisy (7.2022)</w:t>
      </w:r>
    </w:p>
    <w:p w14:paraId="4C905D09" w14:textId="77777777" w:rsidR="00E32F15" w:rsidRPr="00852F6B" w:rsidRDefault="00E32F15" w:rsidP="00E32F15">
      <w:pPr>
        <w:ind w:left="2268" w:hanging="2268"/>
        <w:rPr>
          <w:szCs w:val="20"/>
        </w:rPr>
      </w:pPr>
      <w:r w:rsidRPr="00852F6B">
        <w:rPr>
          <w:szCs w:val="20"/>
        </w:rPr>
        <w:t>ČSN 33 2000-7-718</w:t>
      </w:r>
      <w:r w:rsidRPr="00852F6B">
        <w:rPr>
          <w:szCs w:val="20"/>
        </w:rPr>
        <w:tab/>
        <w:t xml:space="preserve">Elektrické instalace nízkého </w:t>
      </w:r>
      <w:proofErr w:type="gramStart"/>
      <w:r w:rsidRPr="00852F6B">
        <w:rPr>
          <w:szCs w:val="20"/>
        </w:rPr>
        <w:t>napětí - Část</w:t>
      </w:r>
      <w:proofErr w:type="gramEnd"/>
      <w:r w:rsidRPr="00852F6B">
        <w:rPr>
          <w:szCs w:val="20"/>
        </w:rPr>
        <w:t xml:space="preserve"> 7-718: Zařízení jednoúčelová a ve zvláštních </w:t>
      </w:r>
      <w:proofErr w:type="gramStart"/>
      <w:r w:rsidRPr="00852F6B">
        <w:rPr>
          <w:szCs w:val="20"/>
        </w:rPr>
        <w:t>objektech - Prostory</w:t>
      </w:r>
      <w:proofErr w:type="gramEnd"/>
      <w:r w:rsidRPr="00852F6B">
        <w:rPr>
          <w:szCs w:val="20"/>
        </w:rPr>
        <w:t xml:space="preserve"> občanské výstavby a pracoviště (4.2014)</w:t>
      </w:r>
    </w:p>
    <w:p w14:paraId="594E0D1E" w14:textId="77777777" w:rsidR="00E32F15" w:rsidRDefault="00E32F15" w:rsidP="00E32F15">
      <w:pPr>
        <w:ind w:left="2268" w:hanging="2268"/>
        <w:rPr>
          <w:szCs w:val="20"/>
        </w:rPr>
      </w:pPr>
      <w:r w:rsidRPr="00141EDF">
        <w:rPr>
          <w:szCs w:val="20"/>
        </w:rPr>
        <w:t xml:space="preserve">ČSN 33 2130 </w:t>
      </w:r>
      <w:proofErr w:type="spellStart"/>
      <w:r w:rsidRPr="00141EDF">
        <w:rPr>
          <w:szCs w:val="20"/>
        </w:rPr>
        <w:t>ed</w:t>
      </w:r>
      <w:proofErr w:type="spellEnd"/>
      <w:r w:rsidRPr="00141EDF">
        <w:rPr>
          <w:szCs w:val="20"/>
        </w:rPr>
        <w:t>. 3</w:t>
      </w:r>
      <w:r w:rsidRPr="00141EDF">
        <w:rPr>
          <w:szCs w:val="20"/>
        </w:rPr>
        <w:tab/>
        <w:t xml:space="preserve">Elektrické instalace nízkého </w:t>
      </w:r>
      <w:proofErr w:type="gramStart"/>
      <w:r w:rsidRPr="00141EDF">
        <w:rPr>
          <w:szCs w:val="20"/>
        </w:rPr>
        <w:t>napětí - Vnitřní</w:t>
      </w:r>
      <w:proofErr w:type="gramEnd"/>
      <w:r w:rsidRPr="00141EDF">
        <w:rPr>
          <w:szCs w:val="20"/>
        </w:rPr>
        <w:t xml:space="preserve"> elektrické rozvody</w:t>
      </w:r>
      <w:r>
        <w:rPr>
          <w:szCs w:val="20"/>
        </w:rPr>
        <w:t xml:space="preserve"> (12.2014)</w:t>
      </w:r>
    </w:p>
    <w:p w14:paraId="225A127D" w14:textId="77777777" w:rsidR="00E32F15" w:rsidRDefault="00E32F15" w:rsidP="00E32F15">
      <w:pPr>
        <w:ind w:left="2268" w:hanging="2268"/>
        <w:rPr>
          <w:szCs w:val="20"/>
        </w:rPr>
      </w:pPr>
      <w:r w:rsidRPr="007F55FE">
        <w:rPr>
          <w:szCs w:val="20"/>
        </w:rPr>
        <w:t xml:space="preserve">ČSN EN 1991-1-4 </w:t>
      </w:r>
      <w:proofErr w:type="spellStart"/>
      <w:r w:rsidRPr="007F55FE">
        <w:rPr>
          <w:szCs w:val="20"/>
        </w:rPr>
        <w:t>ed</w:t>
      </w:r>
      <w:proofErr w:type="spellEnd"/>
      <w:r w:rsidRPr="007F55FE">
        <w:rPr>
          <w:szCs w:val="20"/>
        </w:rPr>
        <w:t>. 2</w:t>
      </w:r>
      <w:r w:rsidRPr="007F55FE">
        <w:rPr>
          <w:szCs w:val="20"/>
        </w:rPr>
        <w:tab/>
        <w:t xml:space="preserve">Eurokód 1: Zatížení </w:t>
      </w:r>
      <w:proofErr w:type="gramStart"/>
      <w:r w:rsidRPr="007F55FE">
        <w:rPr>
          <w:szCs w:val="20"/>
        </w:rPr>
        <w:t>konstrukcí - Část</w:t>
      </w:r>
      <w:proofErr w:type="gramEnd"/>
      <w:r w:rsidRPr="007F55FE">
        <w:rPr>
          <w:szCs w:val="20"/>
        </w:rPr>
        <w:t xml:space="preserve"> 1-4: Obecná </w:t>
      </w:r>
      <w:proofErr w:type="gramStart"/>
      <w:r w:rsidRPr="007F55FE">
        <w:rPr>
          <w:szCs w:val="20"/>
        </w:rPr>
        <w:t>zatížení - Zatížení</w:t>
      </w:r>
      <w:proofErr w:type="gramEnd"/>
      <w:r w:rsidRPr="007F55FE">
        <w:rPr>
          <w:szCs w:val="20"/>
        </w:rPr>
        <w:t xml:space="preserve"> větrem</w:t>
      </w:r>
    </w:p>
    <w:p w14:paraId="74841009" w14:textId="77777777" w:rsidR="00E32F15" w:rsidRDefault="00E32F15" w:rsidP="00E32F15">
      <w:pPr>
        <w:ind w:left="2268" w:hanging="2268"/>
        <w:rPr>
          <w:szCs w:val="20"/>
        </w:rPr>
      </w:pPr>
      <w:r w:rsidRPr="007F55FE">
        <w:rPr>
          <w:szCs w:val="20"/>
        </w:rPr>
        <w:t>ČSN EN 1991-1-5</w:t>
      </w:r>
      <w:r w:rsidRPr="007F55FE">
        <w:rPr>
          <w:szCs w:val="20"/>
        </w:rPr>
        <w:tab/>
        <w:t xml:space="preserve">Eurokód 1: Zatížení </w:t>
      </w:r>
      <w:proofErr w:type="gramStart"/>
      <w:r w:rsidRPr="007F55FE">
        <w:rPr>
          <w:szCs w:val="20"/>
        </w:rPr>
        <w:t>konstrukcí - Část</w:t>
      </w:r>
      <w:proofErr w:type="gramEnd"/>
      <w:r w:rsidRPr="007F55FE">
        <w:rPr>
          <w:szCs w:val="20"/>
        </w:rPr>
        <w:t xml:space="preserve"> 1-5: Obecná </w:t>
      </w:r>
      <w:proofErr w:type="gramStart"/>
      <w:r w:rsidRPr="007F55FE">
        <w:rPr>
          <w:szCs w:val="20"/>
        </w:rPr>
        <w:t>zatížení - Zatížení</w:t>
      </w:r>
      <w:proofErr w:type="gramEnd"/>
      <w:r w:rsidRPr="007F55FE">
        <w:rPr>
          <w:szCs w:val="20"/>
        </w:rPr>
        <w:t xml:space="preserve"> teplotou</w:t>
      </w:r>
    </w:p>
    <w:p w14:paraId="0968262E" w14:textId="77777777" w:rsidR="00E32F15" w:rsidRDefault="00E32F15" w:rsidP="00E32F15">
      <w:pPr>
        <w:ind w:left="2268" w:hanging="2268"/>
        <w:rPr>
          <w:szCs w:val="20"/>
        </w:rPr>
      </w:pPr>
      <w:r w:rsidRPr="007F55FE">
        <w:rPr>
          <w:szCs w:val="20"/>
        </w:rPr>
        <w:t>TNI 33 2000-5-51</w:t>
      </w:r>
      <w:r w:rsidRPr="007F55FE">
        <w:rPr>
          <w:szCs w:val="20"/>
        </w:rPr>
        <w:tab/>
        <w:t xml:space="preserve">Elektrické instalace nízkého </w:t>
      </w:r>
      <w:proofErr w:type="gramStart"/>
      <w:r w:rsidRPr="007F55FE">
        <w:rPr>
          <w:szCs w:val="20"/>
        </w:rPr>
        <w:t>napětí - Výběr</w:t>
      </w:r>
      <w:proofErr w:type="gramEnd"/>
      <w:r w:rsidRPr="007F55FE">
        <w:rPr>
          <w:szCs w:val="20"/>
        </w:rPr>
        <w:t xml:space="preserve"> a stavba elektrických </w:t>
      </w:r>
      <w:proofErr w:type="gramStart"/>
      <w:r w:rsidRPr="007F55FE">
        <w:rPr>
          <w:szCs w:val="20"/>
        </w:rPr>
        <w:t>zařízení - Všeobecné</w:t>
      </w:r>
      <w:proofErr w:type="gramEnd"/>
      <w:r w:rsidRPr="007F55FE">
        <w:rPr>
          <w:szCs w:val="20"/>
        </w:rPr>
        <w:t xml:space="preserve"> </w:t>
      </w:r>
      <w:proofErr w:type="gramStart"/>
      <w:r w:rsidRPr="007F55FE">
        <w:rPr>
          <w:szCs w:val="20"/>
        </w:rPr>
        <w:t>předpisy - Vnější</w:t>
      </w:r>
      <w:proofErr w:type="gramEnd"/>
      <w:r w:rsidRPr="007F55FE">
        <w:rPr>
          <w:szCs w:val="20"/>
        </w:rPr>
        <w:t xml:space="preserve"> vlivy, jejich určování a protokol o určení vnějších </w:t>
      </w:r>
      <w:proofErr w:type="gramStart"/>
      <w:r w:rsidRPr="007F55FE">
        <w:rPr>
          <w:szCs w:val="20"/>
        </w:rPr>
        <w:t>vlivů - Komentář</w:t>
      </w:r>
      <w:proofErr w:type="gramEnd"/>
      <w:r w:rsidRPr="007F55FE">
        <w:rPr>
          <w:szCs w:val="20"/>
        </w:rPr>
        <w:t xml:space="preserve"> k ČSN 33 2000-5-51 </w:t>
      </w:r>
      <w:proofErr w:type="spellStart"/>
      <w:r w:rsidRPr="007F55FE">
        <w:rPr>
          <w:szCs w:val="20"/>
        </w:rPr>
        <w:t>ed</w:t>
      </w:r>
      <w:proofErr w:type="spellEnd"/>
      <w:r w:rsidRPr="007F55FE">
        <w:rPr>
          <w:szCs w:val="20"/>
        </w:rPr>
        <w:t>. 3:2010 (12.2011)</w:t>
      </w:r>
    </w:p>
    <w:p w14:paraId="7B8D5E64" w14:textId="77777777" w:rsidR="00E32F15" w:rsidRDefault="00E32F15" w:rsidP="00E32F15">
      <w:pPr>
        <w:ind w:left="2268" w:hanging="2268"/>
        <w:rPr>
          <w:szCs w:val="20"/>
        </w:rPr>
      </w:pPr>
      <w:r w:rsidRPr="006A6458">
        <w:rPr>
          <w:szCs w:val="20"/>
        </w:rPr>
        <w:t>ČSN 33 2000-7-710</w:t>
      </w:r>
      <w:r w:rsidRPr="006A6458">
        <w:rPr>
          <w:szCs w:val="20"/>
        </w:rPr>
        <w:tab/>
        <w:t xml:space="preserve">Elektrické instalace nízkého </w:t>
      </w:r>
      <w:proofErr w:type="gramStart"/>
      <w:r w:rsidRPr="006A6458">
        <w:rPr>
          <w:szCs w:val="20"/>
        </w:rPr>
        <w:t>napětí - Část</w:t>
      </w:r>
      <w:proofErr w:type="gramEnd"/>
      <w:r w:rsidRPr="006A6458">
        <w:rPr>
          <w:szCs w:val="20"/>
        </w:rPr>
        <w:t xml:space="preserve"> 7-710: Zařízení jednoúčelová a ve zvláštních objektech – Zdravotnické prostory (2013)</w:t>
      </w:r>
    </w:p>
    <w:p w14:paraId="0667A5BC" w14:textId="77777777" w:rsidR="007F55FE" w:rsidRDefault="007F55FE" w:rsidP="00D05427">
      <w:pPr>
        <w:ind w:left="2268" w:hanging="2268"/>
        <w:rPr>
          <w:szCs w:val="20"/>
        </w:rPr>
      </w:pPr>
      <w:r>
        <w:rPr>
          <w:szCs w:val="20"/>
        </w:rPr>
        <w:t>Mapa ročního úhrnu globálního slunečního záření v ČR; ISOFEN ENERGY s.r.o.</w:t>
      </w:r>
    </w:p>
    <w:p w14:paraId="514DDDCF" w14:textId="77777777" w:rsidR="007F55FE" w:rsidRDefault="007F55FE" w:rsidP="007F55FE">
      <w:pPr>
        <w:rPr>
          <w:szCs w:val="20"/>
        </w:rPr>
      </w:pPr>
    </w:p>
    <w:p w14:paraId="3343371A" w14:textId="77777777" w:rsidR="007F55FE" w:rsidRPr="007F55FE" w:rsidRDefault="007F55FE" w:rsidP="007F55FE">
      <w:pPr>
        <w:keepNext/>
        <w:rPr>
          <w:b/>
          <w:bCs/>
        </w:rPr>
      </w:pPr>
      <w:r w:rsidRPr="007F55FE">
        <w:rPr>
          <w:b/>
          <w:bCs/>
        </w:rPr>
        <w:lastRenderedPageBreak/>
        <w:t>Popis stavebního záměru</w:t>
      </w:r>
      <w:r>
        <w:rPr>
          <w:b/>
          <w:bCs/>
        </w:rPr>
        <w:t>:</w:t>
      </w:r>
    </w:p>
    <w:p w14:paraId="15E854B9" w14:textId="6802E377" w:rsidR="00E32F15" w:rsidRDefault="00523116" w:rsidP="00E32F15">
      <w:r>
        <w:t xml:space="preserve">Předmětem této dokumentace jsou silnoproudé elektroinstalace v souvislosti s rekonstrukcí instalací venkovního osvětlení na parcele </w:t>
      </w:r>
      <w:proofErr w:type="spellStart"/>
      <w:r>
        <w:t>parc</w:t>
      </w:r>
      <w:proofErr w:type="spellEnd"/>
      <w:r>
        <w:t>. č.</w:t>
      </w:r>
      <w:r w:rsidRPr="00621670">
        <w:t xml:space="preserve"> 1037/1</w:t>
      </w:r>
      <w:r>
        <w:t xml:space="preserve">; </w:t>
      </w:r>
      <w:r w:rsidRPr="00621670">
        <w:t>1037/3</w:t>
      </w:r>
      <w:r>
        <w:t>;</w:t>
      </w:r>
      <w:r w:rsidRPr="00621670">
        <w:t xml:space="preserve"> 1038</w:t>
      </w:r>
      <w:r>
        <w:t xml:space="preserve">; </w:t>
      </w:r>
      <w:r w:rsidRPr="00621670">
        <w:t>1041</w:t>
      </w:r>
      <w:r>
        <w:t>;</w:t>
      </w:r>
      <w:r w:rsidRPr="00E14FB4">
        <w:t xml:space="preserve"> 1043</w:t>
      </w:r>
      <w:r>
        <w:t xml:space="preserve">; </w:t>
      </w:r>
      <w:r w:rsidRPr="00621670">
        <w:t>1048/1</w:t>
      </w:r>
      <w:r>
        <w:t xml:space="preserve"> a </w:t>
      </w:r>
      <w:r w:rsidRPr="00621670">
        <w:t>1048/2</w:t>
      </w:r>
      <w:r>
        <w:t>, v </w:t>
      </w:r>
      <w:proofErr w:type="spellStart"/>
      <w:r>
        <w:t>k.ú</w:t>
      </w:r>
      <w:proofErr w:type="spellEnd"/>
      <w:r>
        <w:t>. Jablunkov (okres Frýdek-Místek);656305</w:t>
      </w:r>
    </w:p>
    <w:p w14:paraId="50DD82BF" w14:textId="77777777" w:rsidR="007F55FE" w:rsidRDefault="007F55FE" w:rsidP="007F55FE">
      <w:pPr>
        <w:rPr>
          <w:szCs w:val="20"/>
        </w:rPr>
      </w:pPr>
    </w:p>
    <w:p w14:paraId="5CEDCC8D" w14:textId="77777777" w:rsidR="007F55FE" w:rsidRPr="007F55FE" w:rsidRDefault="007F55FE" w:rsidP="007F55FE">
      <w:pPr>
        <w:keepNext/>
        <w:rPr>
          <w:b/>
          <w:bCs/>
        </w:rPr>
      </w:pPr>
      <w:r w:rsidRPr="007F55FE">
        <w:rPr>
          <w:b/>
          <w:bCs/>
        </w:rPr>
        <w:t>Přílohy:</w:t>
      </w:r>
    </w:p>
    <w:p w14:paraId="29CD1E08" w14:textId="77777777" w:rsidR="007F55FE" w:rsidRDefault="007F55FE" w:rsidP="007F55FE">
      <w:pPr>
        <w:rPr>
          <w:szCs w:val="20"/>
        </w:rPr>
      </w:pPr>
      <w:r>
        <w:rPr>
          <w:szCs w:val="20"/>
        </w:rPr>
        <w:t xml:space="preserve">Charakteristiky vnějších vlivů v dotčených prostorách dle ČSN 33 2000-5-51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>. 3, Příloha ZA.</w:t>
      </w:r>
    </w:p>
    <w:p w14:paraId="3D05E675" w14:textId="77777777" w:rsidR="007F55FE" w:rsidRDefault="007F55FE" w:rsidP="007F55FE">
      <w:pPr>
        <w:rPr>
          <w:szCs w:val="20"/>
        </w:rPr>
      </w:pPr>
    </w:p>
    <w:p w14:paraId="2666F045" w14:textId="77777777" w:rsidR="007F55FE" w:rsidRPr="007F55FE" w:rsidRDefault="007F55FE" w:rsidP="007F55FE">
      <w:pPr>
        <w:keepNext/>
        <w:rPr>
          <w:b/>
          <w:bCs/>
        </w:rPr>
      </w:pPr>
      <w:r w:rsidRPr="007F55FE">
        <w:rPr>
          <w:b/>
          <w:bCs/>
        </w:rPr>
        <w:t>Zdůvodnění:</w:t>
      </w:r>
    </w:p>
    <w:p w14:paraId="561C51C5" w14:textId="77777777" w:rsidR="007F55FE" w:rsidRDefault="007F55FE" w:rsidP="007F55FE">
      <w:pPr>
        <w:rPr>
          <w:szCs w:val="20"/>
        </w:rPr>
      </w:pPr>
      <w:r>
        <w:rPr>
          <w:szCs w:val="20"/>
        </w:rPr>
        <w:t xml:space="preserve">Členění prostor na základě určených vnějších vlivů bylo provedeno dle ČSN EN 61140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>. 3, čl. 4.4.</w:t>
      </w:r>
    </w:p>
    <w:p w14:paraId="1779D014" w14:textId="7045FFB7" w:rsidR="007F55FE" w:rsidRDefault="007F55FE" w:rsidP="007F55FE">
      <w:pPr>
        <w:rPr>
          <w:szCs w:val="20"/>
        </w:rPr>
      </w:pPr>
      <w:r>
        <w:rPr>
          <w:szCs w:val="20"/>
        </w:rPr>
        <w:t>Příslušné stanovení vnějších vlivů bylo proved</w:t>
      </w:r>
      <w:r w:rsidRPr="00E32F15">
        <w:rPr>
          <w:szCs w:val="20"/>
        </w:rPr>
        <w:t xml:space="preserve">eno v rámci dokumentace </w:t>
      </w:r>
      <w:r w:rsidR="00E32F15" w:rsidRPr="00E32F15">
        <w:rPr>
          <w:szCs w:val="20"/>
        </w:rPr>
        <w:t>pro realiz</w:t>
      </w:r>
      <w:r w:rsidR="00E32F15">
        <w:rPr>
          <w:szCs w:val="20"/>
        </w:rPr>
        <w:t xml:space="preserve">aci stavby. </w:t>
      </w:r>
      <w:r>
        <w:rPr>
          <w:szCs w:val="20"/>
        </w:rPr>
        <w:t>Určené vnější vlivy musí být nejpozději v rámci realizace díla ověřeny zhotovitelem a revizním technikem, a tento dokument jimi musí být před uvedením vyhrazeného technického zařízení do provozu buďto potvrzen, anebo upraven.</w:t>
      </w:r>
    </w:p>
    <w:p w14:paraId="6FD76CBD" w14:textId="77777777" w:rsidR="00B155E3" w:rsidRDefault="00B155E3" w:rsidP="007F55FE">
      <w:pPr>
        <w:rPr>
          <w:szCs w:val="20"/>
        </w:rPr>
      </w:pPr>
      <w:r w:rsidRPr="00B155E3">
        <w:rPr>
          <w:szCs w:val="20"/>
        </w:rPr>
        <w:t xml:space="preserve">Dle ČSN 33 2000-7-714 </w:t>
      </w:r>
      <w:proofErr w:type="spellStart"/>
      <w:r w:rsidRPr="00B155E3">
        <w:rPr>
          <w:szCs w:val="20"/>
        </w:rPr>
        <w:t>ed</w:t>
      </w:r>
      <w:proofErr w:type="spellEnd"/>
      <w:r w:rsidRPr="00B155E3">
        <w:rPr>
          <w:szCs w:val="20"/>
        </w:rPr>
        <w:t>. 2, čl. 714.41 musí být dvířka k elektrickému zařízení umístěné méně než 2,5 m nad úrovní terénu uzamčeny pomocí klíče nebo nářadí. Nadto musí být zřízena i ochrana před přímým dotykem ochranou krytím nejméně IPXXB nebo IP2X při otevřených dvířkách.</w:t>
      </w:r>
    </w:p>
    <w:p w14:paraId="5571172C" w14:textId="4F223EFE" w:rsidR="007F55FE" w:rsidRDefault="007F55FE" w:rsidP="007F55FE">
      <w:pPr>
        <w:rPr>
          <w:szCs w:val="20"/>
        </w:rPr>
      </w:pPr>
      <w:r>
        <w:rPr>
          <w:szCs w:val="20"/>
        </w:rPr>
        <w:t xml:space="preserve">Pro obsluhu, údržbu a práci na elektrických zařízeních platí bezpečnostní požadavky ČSN EN 50110-1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>. 3.</w:t>
      </w:r>
      <w:r>
        <w:rPr>
          <w:szCs w:val="20"/>
        </w:rPr>
        <w:br/>
        <w:t xml:space="preserve">V případě laické obsluhy </w:t>
      </w:r>
      <w:r w:rsidR="002100FD">
        <w:rPr>
          <w:szCs w:val="20"/>
        </w:rPr>
        <w:t xml:space="preserve">elektrických zařízení musí předávající (zhotovitel, vlastník, provozovatel) vždy provést její seznámení se správným a bezpečným užíváním elektrické instalace dle požadavků ČSN 33 1310 </w:t>
      </w:r>
      <w:proofErr w:type="spellStart"/>
      <w:r w:rsidR="002100FD">
        <w:rPr>
          <w:szCs w:val="20"/>
        </w:rPr>
        <w:t>ed</w:t>
      </w:r>
      <w:proofErr w:type="spellEnd"/>
      <w:r w:rsidR="002100FD">
        <w:rPr>
          <w:szCs w:val="20"/>
        </w:rPr>
        <w:t>. 2.</w:t>
      </w:r>
    </w:p>
    <w:p w14:paraId="6E92D390" w14:textId="77777777" w:rsidR="002100FD" w:rsidRDefault="002100FD" w:rsidP="007F55FE">
      <w:pPr>
        <w:rPr>
          <w:szCs w:val="20"/>
        </w:rPr>
      </w:pPr>
    </w:p>
    <w:p w14:paraId="11CB40B0" w14:textId="77777777" w:rsidR="002100FD" w:rsidRDefault="002100FD" w:rsidP="007F55FE">
      <w:pPr>
        <w:rPr>
          <w:szCs w:val="20"/>
        </w:rPr>
      </w:pPr>
    </w:p>
    <w:p w14:paraId="3D7D5FB4" w14:textId="75AA79FF" w:rsidR="002100FD" w:rsidRDefault="002100FD" w:rsidP="002100FD">
      <w:pPr>
        <w:tabs>
          <w:tab w:val="right" w:pos="9072"/>
        </w:tabs>
        <w:rPr>
          <w:szCs w:val="20"/>
        </w:rPr>
      </w:pPr>
      <w:r w:rsidRPr="00E32F15">
        <w:rPr>
          <w:szCs w:val="20"/>
        </w:rPr>
        <w:t xml:space="preserve">V </w:t>
      </w:r>
      <w:r w:rsidR="00E32F15" w:rsidRPr="00E32F15">
        <w:rPr>
          <w:szCs w:val="20"/>
        </w:rPr>
        <w:t>Jablunkově</w:t>
      </w:r>
      <w:r w:rsidRPr="00E32F15">
        <w:rPr>
          <w:szCs w:val="20"/>
        </w:rPr>
        <w:tab/>
        <w:t xml:space="preserve">dne </w:t>
      </w:r>
      <w:r w:rsidR="00963AF3">
        <w:rPr>
          <w:szCs w:val="20"/>
        </w:rPr>
        <w:t>0</w:t>
      </w:r>
      <w:r w:rsidR="00523116">
        <w:rPr>
          <w:szCs w:val="20"/>
        </w:rPr>
        <w:t>4</w:t>
      </w:r>
      <w:r w:rsidR="00963AF3">
        <w:rPr>
          <w:szCs w:val="20"/>
        </w:rPr>
        <w:t>/20</w:t>
      </w:r>
      <w:r w:rsidR="00523116">
        <w:rPr>
          <w:szCs w:val="20"/>
        </w:rPr>
        <w:t>25</w:t>
      </w:r>
    </w:p>
    <w:p w14:paraId="0DCD45F9" w14:textId="4FD77540" w:rsidR="002100FD" w:rsidRDefault="002100FD">
      <w:pPr>
        <w:rPr>
          <w:szCs w:val="20"/>
        </w:rPr>
      </w:pPr>
      <w:r>
        <w:rPr>
          <w:szCs w:val="20"/>
        </w:rPr>
        <w:br w:type="page"/>
      </w:r>
    </w:p>
    <w:p w14:paraId="0FFECCF2" w14:textId="77777777" w:rsidR="00980A5A" w:rsidRPr="000648AE" w:rsidRDefault="00980A5A" w:rsidP="00980A5A">
      <w:pPr>
        <w:pStyle w:val="Odstavecseseznamem"/>
        <w:keepNext/>
        <w:keepLines/>
        <w:pageBreakBefore/>
        <w:widowControl w:val="0"/>
        <w:numPr>
          <w:ilvl w:val="0"/>
          <w:numId w:val="1"/>
        </w:numPr>
        <w:spacing w:after="360"/>
        <w:jc w:val="center"/>
        <w:rPr>
          <w:b/>
          <w:szCs w:val="20"/>
        </w:rPr>
      </w:pPr>
      <w:r w:rsidRPr="000648AE">
        <w:rPr>
          <w:b/>
          <w:szCs w:val="20"/>
        </w:rPr>
        <w:lastRenderedPageBreak/>
        <w:t>– Společný list protokolu o určení vnějších vlivů pro místnosti se shodnými vnějšími vlivy</w:t>
      </w:r>
    </w:p>
    <w:p w14:paraId="3D092C6B" w14:textId="77777777" w:rsidR="00980A5A" w:rsidRPr="000648AE" w:rsidRDefault="00980A5A" w:rsidP="00980A5A">
      <w:pPr>
        <w:rPr>
          <w:szCs w:val="20"/>
        </w:rPr>
      </w:pPr>
      <w:r w:rsidRPr="000648AE">
        <w:rPr>
          <w:b/>
          <w:bCs/>
          <w:szCs w:val="20"/>
        </w:rPr>
        <w:t>účel prostoru:</w:t>
      </w:r>
      <w:r w:rsidRPr="000648AE">
        <w:rPr>
          <w:szCs w:val="20"/>
        </w:rPr>
        <w:t xml:space="preserve"> venkovní prostory v bezprostředním okolí objektu</w:t>
      </w:r>
      <w:r w:rsidRPr="00630F21">
        <w:rPr>
          <w:szCs w:val="20"/>
        </w:rPr>
        <w:t xml:space="preserve"> </w:t>
      </w:r>
    </w:p>
    <w:tbl>
      <w:tblPr>
        <w:tblStyle w:val="Mkatabulky"/>
        <w:tblW w:w="9612" w:type="dxa"/>
        <w:jc w:val="center"/>
        <w:tblLayout w:type="fixed"/>
        <w:tblLook w:val="04A0" w:firstRow="1" w:lastRow="0" w:firstColumn="1" w:lastColumn="0" w:noHBand="0" w:noVBand="1"/>
      </w:tblPr>
      <w:tblGrid>
        <w:gridCol w:w="965"/>
        <w:gridCol w:w="3827"/>
        <w:gridCol w:w="4820"/>
      </w:tblGrid>
      <w:tr w:rsidR="00980A5A" w:rsidRPr="000648AE" w14:paraId="3FE35C95" w14:textId="77777777" w:rsidTr="00AD72D0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23F9C9CF" w14:textId="77777777" w:rsidR="00980A5A" w:rsidRPr="000648AE" w:rsidRDefault="00980A5A" w:rsidP="00AD72D0">
            <w:pPr>
              <w:contextualSpacing/>
              <w:jc w:val="center"/>
              <w:rPr>
                <w:b/>
                <w:szCs w:val="20"/>
              </w:rPr>
            </w:pPr>
            <w:r w:rsidRPr="000648AE">
              <w:rPr>
                <w:b/>
                <w:szCs w:val="20"/>
              </w:rPr>
              <w:t>A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40BFC1DF" w14:textId="77777777" w:rsidR="00980A5A" w:rsidRPr="000648AE" w:rsidRDefault="00980A5A" w:rsidP="00AD72D0">
            <w:pPr>
              <w:contextualSpacing/>
              <w:rPr>
                <w:b/>
                <w:szCs w:val="20"/>
              </w:rPr>
            </w:pPr>
            <w:r w:rsidRPr="000648AE">
              <w:rPr>
                <w:b/>
                <w:szCs w:val="20"/>
              </w:rPr>
              <w:t>PROSTŘEDÍ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177D6048" w14:textId="77777777" w:rsidR="00980A5A" w:rsidRPr="000648AE" w:rsidRDefault="00980A5A" w:rsidP="00AD72D0">
            <w:pPr>
              <w:contextualSpacing/>
              <w:rPr>
                <w:b/>
                <w:szCs w:val="20"/>
              </w:rPr>
            </w:pPr>
            <w:r w:rsidRPr="000648AE">
              <w:rPr>
                <w:b/>
                <w:szCs w:val="20"/>
              </w:rPr>
              <w:t>Třída vnějšího vlivu</w:t>
            </w:r>
          </w:p>
        </w:tc>
      </w:tr>
      <w:tr w:rsidR="00980A5A" w:rsidRPr="000648AE" w14:paraId="1C1426CB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1063A356" w14:textId="77777777" w:rsidR="00980A5A" w:rsidRPr="000648AE" w:rsidRDefault="00980A5A" w:rsidP="00AD72D0">
            <w:pPr>
              <w:contextualSpacing/>
              <w:jc w:val="center"/>
              <w:rPr>
                <w:b/>
                <w:szCs w:val="20"/>
              </w:rPr>
            </w:pPr>
            <w:r w:rsidRPr="000648AE">
              <w:rPr>
                <w:b/>
                <w:szCs w:val="20"/>
              </w:rPr>
              <w:t>AA8</w:t>
            </w:r>
          </w:p>
        </w:tc>
        <w:tc>
          <w:tcPr>
            <w:tcW w:w="3827" w:type="dxa"/>
            <w:vAlign w:val="center"/>
          </w:tcPr>
          <w:p w14:paraId="597DE099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Teplota okolí</w:t>
            </w:r>
          </w:p>
        </w:tc>
        <w:tc>
          <w:tcPr>
            <w:tcW w:w="4820" w:type="dxa"/>
          </w:tcPr>
          <w:p w14:paraId="4D1E3CED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uvažovaný teplotní rozsah -25 °C až +40 °C</w:t>
            </w:r>
          </w:p>
        </w:tc>
      </w:tr>
      <w:tr w:rsidR="00980A5A" w:rsidRPr="000648AE" w14:paraId="4946C623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4C20F34A" w14:textId="77777777" w:rsidR="00980A5A" w:rsidRPr="000648AE" w:rsidRDefault="00980A5A" w:rsidP="00AD72D0">
            <w:pPr>
              <w:contextualSpacing/>
              <w:jc w:val="center"/>
              <w:rPr>
                <w:b/>
                <w:szCs w:val="20"/>
              </w:rPr>
            </w:pPr>
            <w:r w:rsidRPr="000648AE">
              <w:rPr>
                <w:b/>
                <w:szCs w:val="20"/>
              </w:rPr>
              <w:t>AB8</w:t>
            </w:r>
          </w:p>
        </w:tc>
        <w:tc>
          <w:tcPr>
            <w:tcW w:w="3827" w:type="dxa"/>
            <w:vAlign w:val="center"/>
          </w:tcPr>
          <w:p w14:paraId="27224AE8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Atmosférické vlivy okolí</w:t>
            </w:r>
          </w:p>
        </w:tc>
        <w:tc>
          <w:tcPr>
            <w:tcW w:w="4820" w:type="dxa"/>
          </w:tcPr>
          <w:p w14:paraId="69A064C5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venkovní prostory s nízkými i vysokými teplotami</w:t>
            </w:r>
          </w:p>
        </w:tc>
      </w:tr>
      <w:tr w:rsidR="00980A5A" w:rsidRPr="000648AE" w14:paraId="3F4DF0DA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3B2C0E1F" w14:textId="77777777" w:rsidR="00980A5A" w:rsidRPr="000648AE" w:rsidRDefault="00980A5A" w:rsidP="00AD72D0">
            <w:pPr>
              <w:contextualSpacing/>
              <w:jc w:val="center"/>
              <w:rPr>
                <w:szCs w:val="20"/>
              </w:rPr>
            </w:pPr>
            <w:r w:rsidRPr="000648AE">
              <w:rPr>
                <w:szCs w:val="20"/>
              </w:rPr>
              <w:t>AC1</w:t>
            </w:r>
          </w:p>
        </w:tc>
        <w:tc>
          <w:tcPr>
            <w:tcW w:w="3827" w:type="dxa"/>
            <w:vAlign w:val="center"/>
          </w:tcPr>
          <w:p w14:paraId="24269A33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Nadmořská výška</w:t>
            </w:r>
          </w:p>
        </w:tc>
        <w:tc>
          <w:tcPr>
            <w:tcW w:w="4820" w:type="dxa"/>
          </w:tcPr>
          <w:p w14:paraId="77F64F52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sym w:font="Symbol" w:char="F0A3"/>
            </w:r>
            <w:r w:rsidRPr="000648AE">
              <w:rPr>
                <w:szCs w:val="20"/>
              </w:rPr>
              <w:t xml:space="preserve"> 2000 m; normální</w:t>
            </w:r>
          </w:p>
        </w:tc>
      </w:tr>
      <w:tr w:rsidR="00980A5A" w:rsidRPr="000648AE" w14:paraId="700E127D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2C1DC2F9" w14:textId="77777777" w:rsidR="00980A5A" w:rsidRPr="000648AE" w:rsidRDefault="00980A5A" w:rsidP="00AD72D0">
            <w:pPr>
              <w:contextualSpacing/>
              <w:jc w:val="center"/>
              <w:rPr>
                <w:b/>
                <w:bCs/>
                <w:szCs w:val="20"/>
              </w:rPr>
            </w:pPr>
            <w:r w:rsidRPr="000648AE">
              <w:rPr>
                <w:b/>
                <w:bCs/>
                <w:szCs w:val="20"/>
              </w:rPr>
              <w:t>AD4</w:t>
            </w:r>
          </w:p>
        </w:tc>
        <w:tc>
          <w:tcPr>
            <w:tcW w:w="3827" w:type="dxa"/>
            <w:vAlign w:val="center"/>
          </w:tcPr>
          <w:p w14:paraId="0CCD93E4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Výskyt vody z jiných zdrojů než z deště</w:t>
            </w:r>
          </w:p>
        </w:tc>
        <w:tc>
          <w:tcPr>
            <w:tcW w:w="4820" w:type="dxa"/>
          </w:tcPr>
          <w:p w14:paraId="45AF459B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 xml:space="preserve">stříkající voda; krytí min. </w:t>
            </w:r>
            <w:r w:rsidRPr="000648AE">
              <w:rPr>
                <w:b/>
                <w:bCs/>
                <w:szCs w:val="20"/>
              </w:rPr>
              <w:t>IPX4</w:t>
            </w:r>
            <w:r w:rsidRPr="000648AE">
              <w:rPr>
                <w:szCs w:val="20"/>
              </w:rPr>
              <w:t xml:space="preserve"> </w:t>
            </w:r>
            <w:r w:rsidRPr="000648AE">
              <w:rPr>
                <w:rStyle w:val="Znakapoznpodarou"/>
                <w:szCs w:val="20"/>
              </w:rPr>
              <w:footnoteReference w:id="1"/>
            </w:r>
            <w:r w:rsidRPr="000648AE">
              <w:rPr>
                <w:szCs w:val="20"/>
                <w:vertAlign w:val="superscript"/>
              </w:rPr>
              <w:t>),</w:t>
            </w:r>
            <w:r w:rsidRPr="000648AE">
              <w:rPr>
                <w:szCs w:val="20"/>
              </w:rPr>
              <w:t xml:space="preserve"> </w:t>
            </w:r>
            <w:r w:rsidRPr="000648AE">
              <w:rPr>
                <w:rStyle w:val="Znakapoznpodarou"/>
                <w:szCs w:val="20"/>
              </w:rPr>
              <w:footnoteReference w:id="2"/>
            </w:r>
            <w:r w:rsidRPr="000648AE">
              <w:rPr>
                <w:szCs w:val="20"/>
                <w:vertAlign w:val="superscript"/>
              </w:rPr>
              <w:t>),</w:t>
            </w:r>
            <w:r w:rsidRPr="000648AE">
              <w:rPr>
                <w:szCs w:val="20"/>
              </w:rPr>
              <w:t xml:space="preserve"> </w:t>
            </w:r>
            <w:r w:rsidRPr="000648AE">
              <w:rPr>
                <w:rStyle w:val="Znakapoznpodarou"/>
                <w:szCs w:val="20"/>
              </w:rPr>
              <w:footnoteReference w:id="3"/>
            </w:r>
            <w:r w:rsidRPr="000648AE">
              <w:rPr>
                <w:szCs w:val="20"/>
                <w:vertAlign w:val="superscript"/>
              </w:rPr>
              <w:t>)</w:t>
            </w:r>
          </w:p>
        </w:tc>
      </w:tr>
      <w:tr w:rsidR="00980A5A" w:rsidRPr="000648AE" w14:paraId="1067DBBC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66E834AD" w14:textId="77777777" w:rsidR="00980A5A" w:rsidRPr="000648AE" w:rsidRDefault="00980A5A" w:rsidP="00AD72D0">
            <w:pPr>
              <w:contextualSpacing/>
              <w:jc w:val="center"/>
              <w:rPr>
                <w:szCs w:val="20"/>
              </w:rPr>
            </w:pPr>
            <w:r w:rsidRPr="000648AE">
              <w:rPr>
                <w:b/>
                <w:bCs/>
                <w:szCs w:val="20"/>
              </w:rPr>
              <w:t>AE2</w:t>
            </w:r>
            <w:r w:rsidRPr="000648AE">
              <w:rPr>
                <w:szCs w:val="20"/>
              </w:rPr>
              <w:t xml:space="preserve"> </w:t>
            </w:r>
            <w:r w:rsidRPr="000648AE">
              <w:rPr>
                <w:rStyle w:val="Znakapoznpodarou"/>
                <w:szCs w:val="20"/>
              </w:rPr>
              <w:footnoteReference w:id="4"/>
            </w:r>
            <w:r w:rsidRPr="000648AE">
              <w:rPr>
                <w:szCs w:val="20"/>
                <w:vertAlign w:val="superscript"/>
              </w:rPr>
              <w:t>)</w:t>
            </w:r>
          </w:p>
        </w:tc>
        <w:tc>
          <w:tcPr>
            <w:tcW w:w="3827" w:type="dxa"/>
            <w:vAlign w:val="center"/>
          </w:tcPr>
          <w:p w14:paraId="7539C702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Výskyt cizích pevných těles</w:t>
            </w:r>
          </w:p>
        </w:tc>
        <w:tc>
          <w:tcPr>
            <w:tcW w:w="4820" w:type="dxa"/>
          </w:tcPr>
          <w:p w14:paraId="449482B9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 xml:space="preserve">malé předměty; krytí min. </w:t>
            </w:r>
            <w:r w:rsidRPr="000648AE">
              <w:rPr>
                <w:b/>
                <w:bCs/>
                <w:szCs w:val="20"/>
              </w:rPr>
              <w:t>IP3X</w:t>
            </w:r>
          </w:p>
        </w:tc>
      </w:tr>
      <w:tr w:rsidR="00980A5A" w:rsidRPr="000648AE" w14:paraId="233A4DC4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7B657DAE" w14:textId="77777777" w:rsidR="00980A5A" w:rsidRPr="000648AE" w:rsidRDefault="00980A5A" w:rsidP="00AD72D0">
            <w:pPr>
              <w:contextualSpacing/>
              <w:jc w:val="center"/>
              <w:rPr>
                <w:szCs w:val="20"/>
              </w:rPr>
            </w:pPr>
            <w:r w:rsidRPr="000648AE">
              <w:rPr>
                <w:b/>
                <w:bCs/>
                <w:szCs w:val="20"/>
              </w:rPr>
              <w:t>AF2</w:t>
            </w:r>
            <w:r w:rsidRPr="000648AE">
              <w:rPr>
                <w:szCs w:val="20"/>
              </w:rPr>
              <w:t xml:space="preserve"> </w:t>
            </w:r>
            <w:r w:rsidRPr="000648AE">
              <w:rPr>
                <w:rStyle w:val="Znakapoznpodarou"/>
                <w:szCs w:val="20"/>
              </w:rPr>
              <w:footnoteReference w:id="5"/>
            </w:r>
            <w:r w:rsidRPr="000648AE">
              <w:rPr>
                <w:szCs w:val="20"/>
                <w:vertAlign w:val="superscript"/>
              </w:rPr>
              <w:t>)</w:t>
            </w:r>
          </w:p>
        </w:tc>
        <w:tc>
          <w:tcPr>
            <w:tcW w:w="3827" w:type="dxa"/>
            <w:vAlign w:val="center"/>
          </w:tcPr>
          <w:p w14:paraId="7F9379DD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Výskyt korozivních nebo znečišťujících látek</w:t>
            </w:r>
          </w:p>
        </w:tc>
        <w:tc>
          <w:tcPr>
            <w:tcW w:w="4820" w:type="dxa"/>
          </w:tcPr>
          <w:p w14:paraId="57B704A7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 xml:space="preserve">atmosférický výskyt; krytí min. </w:t>
            </w:r>
            <w:r w:rsidRPr="000648AE">
              <w:rPr>
                <w:b/>
                <w:bCs/>
                <w:szCs w:val="20"/>
              </w:rPr>
              <w:t>IP44</w:t>
            </w:r>
          </w:p>
        </w:tc>
      </w:tr>
      <w:tr w:rsidR="00980A5A" w:rsidRPr="000648AE" w14:paraId="07A7E3A0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0EC61C8B" w14:textId="77777777" w:rsidR="00980A5A" w:rsidRPr="000648AE" w:rsidRDefault="00980A5A" w:rsidP="00AD72D0">
            <w:pPr>
              <w:contextualSpacing/>
              <w:jc w:val="center"/>
              <w:rPr>
                <w:szCs w:val="20"/>
              </w:rPr>
            </w:pPr>
            <w:r w:rsidRPr="000648AE">
              <w:rPr>
                <w:szCs w:val="20"/>
              </w:rPr>
              <w:t>AG1</w:t>
            </w:r>
          </w:p>
        </w:tc>
        <w:tc>
          <w:tcPr>
            <w:tcW w:w="3827" w:type="dxa"/>
            <w:vAlign w:val="center"/>
          </w:tcPr>
          <w:p w14:paraId="6141A6C8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Ráz</w:t>
            </w:r>
          </w:p>
        </w:tc>
        <w:tc>
          <w:tcPr>
            <w:tcW w:w="4820" w:type="dxa"/>
          </w:tcPr>
          <w:p w14:paraId="2EA83FE4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normální</w:t>
            </w:r>
          </w:p>
        </w:tc>
      </w:tr>
      <w:tr w:rsidR="00980A5A" w:rsidRPr="000648AE" w14:paraId="5B90D060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4ED423C7" w14:textId="77777777" w:rsidR="00980A5A" w:rsidRPr="000648AE" w:rsidRDefault="00980A5A" w:rsidP="00AD72D0">
            <w:pPr>
              <w:contextualSpacing/>
              <w:jc w:val="center"/>
              <w:rPr>
                <w:szCs w:val="20"/>
              </w:rPr>
            </w:pPr>
            <w:r w:rsidRPr="000648AE">
              <w:rPr>
                <w:szCs w:val="20"/>
              </w:rPr>
              <w:t>AH1</w:t>
            </w:r>
          </w:p>
        </w:tc>
        <w:tc>
          <w:tcPr>
            <w:tcW w:w="3827" w:type="dxa"/>
            <w:vAlign w:val="center"/>
          </w:tcPr>
          <w:p w14:paraId="3B6D5B0A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Vibrace</w:t>
            </w:r>
          </w:p>
        </w:tc>
        <w:tc>
          <w:tcPr>
            <w:tcW w:w="4820" w:type="dxa"/>
          </w:tcPr>
          <w:p w14:paraId="6D4A6EFD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normální</w:t>
            </w:r>
          </w:p>
        </w:tc>
      </w:tr>
      <w:tr w:rsidR="00980A5A" w:rsidRPr="000648AE" w14:paraId="09429618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5D96E570" w14:textId="77777777" w:rsidR="00980A5A" w:rsidRPr="000648AE" w:rsidRDefault="00980A5A" w:rsidP="00AD72D0">
            <w:pPr>
              <w:contextualSpacing/>
              <w:jc w:val="center"/>
              <w:rPr>
                <w:b/>
                <w:bCs/>
                <w:szCs w:val="20"/>
              </w:rPr>
            </w:pPr>
            <w:r w:rsidRPr="000648AE">
              <w:rPr>
                <w:b/>
                <w:bCs/>
                <w:szCs w:val="20"/>
              </w:rPr>
              <w:t>AK2</w:t>
            </w:r>
          </w:p>
        </w:tc>
        <w:tc>
          <w:tcPr>
            <w:tcW w:w="3827" w:type="dxa"/>
            <w:vAlign w:val="center"/>
          </w:tcPr>
          <w:p w14:paraId="00ECEF7B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Výskyt rostlinstva nebo plísní</w:t>
            </w:r>
          </w:p>
        </w:tc>
        <w:tc>
          <w:tcPr>
            <w:tcW w:w="4820" w:type="dxa"/>
          </w:tcPr>
          <w:p w14:paraId="1CABE37B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 xml:space="preserve">vážné nebezpečí růstu rostlin/plísní; krytí min. </w:t>
            </w:r>
            <w:r w:rsidRPr="000648AE">
              <w:rPr>
                <w:b/>
                <w:bCs/>
                <w:szCs w:val="20"/>
              </w:rPr>
              <w:t>IP44</w:t>
            </w:r>
          </w:p>
        </w:tc>
      </w:tr>
      <w:tr w:rsidR="00980A5A" w:rsidRPr="000648AE" w14:paraId="3771013B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5A84BC5E" w14:textId="77777777" w:rsidR="00980A5A" w:rsidRPr="000648AE" w:rsidRDefault="00980A5A" w:rsidP="00AD72D0">
            <w:pPr>
              <w:contextualSpacing/>
              <w:jc w:val="center"/>
              <w:rPr>
                <w:b/>
                <w:bCs/>
                <w:szCs w:val="20"/>
              </w:rPr>
            </w:pPr>
            <w:r w:rsidRPr="000648AE">
              <w:rPr>
                <w:b/>
                <w:bCs/>
                <w:szCs w:val="20"/>
              </w:rPr>
              <w:t>AL2</w:t>
            </w:r>
          </w:p>
        </w:tc>
        <w:tc>
          <w:tcPr>
            <w:tcW w:w="3827" w:type="dxa"/>
            <w:vAlign w:val="center"/>
          </w:tcPr>
          <w:p w14:paraId="313B59B3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Výskyt živočichů</w:t>
            </w:r>
          </w:p>
        </w:tc>
        <w:tc>
          <w:tcPr>
            <w:tcW w:w="4820" w:type="dxa"/>
          </w:tcPr>
          <w:p w14:paraId="4CECE744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 xml:space="preserve">vážné nebezpečí výskytu hmyzu a ptáků; krytí min. </w:t>
            </w:r>
            <w:r w:rsidRPr="000648AE">
              <w:rPr>
                <w:b/>
                <w:bCs/>
                <w:szCs w:val="20"/>
              </w:rPr>
              <w:t>IP44</w:t>
            </w:r>
          </w:p>
        </w:tc>
      </w:tr>
      <w:tr w:rsidR="00980A5A" w:rsidRPr="000648AE" w14:paraId="5F3AEFBD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054912FF" w14:textId="77777777" w:rsidR="00980A5A" w:rsidRPr="000648AE" w:rsidRDefault="00980A5A" w:rsidP="00AD72D0">
            <w:pPr>
              <w:contextualSpacing/>
              <w:jc w:val="center"/>
              <w:rPr>
                <w:b/>
                <w:szCs w:val="20"/>
              </w:rPr>
            </w:pPr>
            <w:r w:rsidRPr="000648AE">
              <w:rPr>
                <w:b/>
                <w:szCs w:val="20"/>
              </w:rPr>
              <w:t>AM-1-2</w:t>
            </w:r>
          </w:p>
        </w:tc>
        <w:tc>
          <w:tcPr>
            <w:tcW w:w="3827" w:type="dxa"/>
            <w:vAlign w:val="center"/>
          </w:tcPr>
          <w:p w14:paraId="5F6A7CF4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 xml:space="preserve">Harmonické, </w:t>
            </w:r>
            <w:proofErr w:type="spellStart"/>
            <w:r w:rsidRPr="000648AE">
              <w:rPr>
                <w:szCs w:val="20"/>
              </w:rPr>
              <w:t>meziharmonické</w:t>
            </w:r>
            <w:proofErr w:type="spellEnd"/>
          </w:p>
        </w:tc>
        <w:tc>
          <w:tcPr>
            <w:tcW w:w="4820" w:type="dxa"/>
          </w:tcPr>
          <w:p w14:paraId="13487EF3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předpokládá se normální úroveň harmonických dle tabulky 1 ČSN EN 61000-2-2</w:t>
            </w:r>
          </w:p>
        </w:tc>
      </w:tr>
      <w:tr w:rsidR="00980A5A" w:rsidRPr="000648AE" w14:paraId="2634612D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730C2017" w14:textId="77777777" w:rsidR="00980A5A" w:rsidRPr="000648AE" w:rsidRDefault="00980A5A" w:rsidP="00AD72D0">
            <w:pPr>
              <w:contextualSpacing/>
              <w:jc w:val="center"/>
              <w:rPr>
                <w:b/>
                <w:bCs/>
                <w:szCs w:val="20"/>
              </w:rPr>
            </w:pPr>
            <w:r w:rsidRPr="000648AE">
              <w:rPr>
                <w:b/>
                <w:bCs/>
                <w:szCs w:val="20"/>
              </w:rPr>
              <w:t>AN3</w:t>
            </w:r>
          </w:p>
        </w:tc>
        <w:tc>
          <w:tcPr>
            <w:tcW w:w="3827" w:type="dxa"/>
            <w:vAlign w:val="center"/>
          </w:tcPr>
          <w:p w14:paraId="33380AEB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Sluneční záření</w:t>
            </w:r>
          </w:p>
        </w:tc>
        <w:tc>
          <w:tcPr>
            <w:tcW w:w="4820" w:type="dxa"/>
          </w:tcPr>
          <w:p w14:paraId="080796E4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 xml:space="preserve">700 </w:t>
            </w:r>
            <w:r w:rsidRPr="000648AE">
              <w:rPr>
                <w:rFonts w:cstheme="minorHAnsi"/>
                <w:szCs w:val="20"/>
              </w:rPr>
              <w:t xml:space="preserve">÷ </w:t>
            </w:r>
            <w:r w:rsidRPr="000648AE">
              <w:rPr>
                <w:szCs w:val="20"/>
              </w:rPr>
              <w:t>1120 W/m</w:t>
            </w:r>
            <w:r w:rsidRPr="000648AE">
              <w:rPr>
                <w:szCs w:val="20"/>
                <w:vertAlign w:val="superscript"/>
              </w:rPr>
              <w:t>2</w:t>
            </w:r>
            <w:r w:rsidRPr="000648AE">
              <w:rPr>
                <w:szCs w:val="20"/>
              </w:rPr>
              <w:t>; jsou požadována vhodná opatření</w:t>
            </w:r>
          </w:p>
        </w:tc>
      </w:tr>
      <w:tr w:rsidR="00980A5A" w:rsidRPr="000648AE" w14:paraId="11CDBB5E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4280C59A" w14:textId="77777777" w:rsidR="00980A5A" w:rsidRPr="000648AE" w:rsidRDefault="00980A5A" w:rsidP="00AD72D0">
            <w:pPr>
              <w:contextualSpacing/>
              <w:jc w:val="center"/>
              <w:rPr>
                <w:szCs w:val="20"/>
              </w:rPr>
            </w:pPr>
            <w:r w:rsidRPr="000648AE">
              <w:rPr>
                <w:szCs w:val="20"/>
              </w:rPr>
              <w:t>AP1</w:t>
            </w:r>
          </w:p>
        </w:tc>
        <w:tc>
          <w:tcPr>
            <w:tcW w:w="3827" w:type="dxa"/>
            <w:vAlign w:val="center"/>
          </w:tcPr>
          <w:p w14:paraId="61297F02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Seismické účinky</w:t>
            </w:r>
          </w:p>
        </w:tc>
        <w:tc>
          <w:tcPr>
            <w:tcW w:w="4820" w:type="dxa"/>
          </w:tcPr>
          <w:p w14:paraId="0FFA564F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normální</w:t>
            </w:r>
          </w:p>
        </w:tc>
      </w:tr>
      <w:tr w:rsidR="00980A5A" w:rsidRPr="000648AE" w14:paraId="5B8EFA56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1C99AE23" w14:textId="34590EEB" w:rsidR="00980A5A" w:rsidRPr="000648AE" w:rsidRDefault="00980A5A" w:rsidP="00AD72D0">
            <w:pPr>
              <w:contextualSpacing/>
              <w:jc w:val="center"/>
              <w:rPr>
                <w:b/>
                <w:bCs/>
                <w:szCs w:val="20"/>
              </w:rPr>
            </w:pPr>
            <w:r w:rsidRPr="000648AE">
              <w:rPr>
                <w:b/>
                <w:bCs/>
                <w:szCs w:val="20"/>
              </w:rPr>
              <w:t>AQ</w:t>
            </w:r>
            <w:r w:rsidR="00DD5FB0">
              <w:rPr>
                <w:b/>
                <w:bCs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4EBA35E7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Bouřková činnost</w:t>
            </w:r>
          </w:p>
        </w:tc>
        <w:tc>
          <w:tcPr>
            <w:tcW w:w="4820" w:type="dxa"/>
          </w:tcPr>
          <w:p w14:paraId="58B2B9CE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 xml:space="preserve">normální; nepřímé ohrožení pro zónu LPZ </w:t>
            </w:r>
            <w:proofErr w:type="gramStart"/>
            <w:r w:rsidRPr="000648AE">
              <w:rPr>
                <w:szCs w:val="20"/>
              </w:rPr>
              <w:t>0</w:t>
            </w:r>
            <w:r w:rsidRPr="000648AE">
              <w:rPr>
                <w:szCs w:val="20"/>
                <w:vertAlign w:val="subscript"/>
              </w:rPr>
              <w:t>B</w:t>
            </w:r>
            <w:proofErr w:type="gramEnd"/>
          </w:p>
        </w:tc>
      </w:tr>
      <w:tr w:rsidR="00980A5A" w:rsidRPr="000648AE" w14:paraId="05F3214D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1726A1AB" w14:textId="77777777" w:rsidR="00980A5A" w:rsidRPr="000648AE" w:rsidRDefault="00980A5A" w:rsidP="00AD72D0">
            <w:pPr>
              <w:contextualSpacing/>
              <w:jc w:val="center"/>
              <w:rPr>
                <w:szCs w:val="20"/>
              </w:rPr>
            </w:pPr>
            <w:r w:rsidRPr="000648AE">
              <w:rPr>
                <w:szCs w:val="20"/>
              </w:rPr>
              <w:t>AR1</w:t>
            </w:r>
          </w:p>
        </w:tc>
        <w:tc>
          <w:tcPr>
            <w:tcW w:w="3827" w:type="dxa"/>
            <w:vAlign w:val="center"/>
          </w:tcPr>
          <w:p w14:paraId="4014CA3A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Pohyb vzduchu</w:t>
            </w:r>
          </w:p>
        </w:tc>
        <w:tc>
          <w:tcPr>
            <w:tcW w:w="4820" w:type="dxa"/>
          </w:tcPr>
          <w:p w14:paraId="789EFA3E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normální</w:t>
            </w:r>
          </w:p>
        </w:tc>
      </w:tr>
      <w:tr w:rsidR="00980A5A" w:rsidRPr="000648AE" w14:paraId="44F0EA0F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5B51355A" w14:textId="77777777" w:rsidR="00980A5A" w:rsidRPr="000648AE" w:rsidRDefault="00980A5A" w:rsidP="00AD72D0">
            <w:pPr>
              <w:contextualSpacing/>
              <w:jc w:val="center"/>
              <w:rPr>
                <w:b/>
                <w:bCs/>
                <w:szCs w:val="20"/>
              </w:rPr>
            </w:pPr>
            <w:r w:rsidRPr="000648AE">
              <w:rPr>
                <w:b/>
                <w:bCs/>
                <w:szCs w:val="20"/>
              </w:rPr>
              <w:t>AS2</w:t>
            </w:r>
            <w:r w:rsidRPr="000648AE">
              <w:rPr>
                <w:rFonts w:cstheme="minorHAnsi"/>
                <w:szCs w:val="20"/>
              </w:rPr>
              <w:t xml:space="preserve"> </w:t>
            </w:r>
            <w:r w:rsidRPr="000648AE">
              <w:rPr>
                <w:rStyle w:val="Znakapoznpodarou"/>
                <w:rFonts w:cstheme="minorHAnsi"/>
                <w:szCs w:val="20"/>
              </w:rPr>
              <w:footnoteReference w:id="6"/>
            </w:r>
            <w:r w:rsidRPr="000648AE">
              <w:rPr>
                <w:rFonts w:cstheme="minorHAnsi"/>
                <w:szCs w:val="20"/>
                <w:vertAlign w:val="superscript"/>
              </w:rPr>
              <w:t>)</w:t>
            </w:r>
          </w:p>
        </w:tc>
        <w:tc>
          <w:tcPr>
            <w:tcW w:w="3827" w:type="dxa"/>
            <w:vAlign w:val="center"/>
          </w:tcPr>
          <w:p w14:paraId="5578A83E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Vítr</w:t>
            </w:r>
          </w:p>
        </w:tc>
        <w:tc>
          <w:tcPr>
            <w:tcW w:w="4820" w:type="dxa"/>
          </w:tcPr>
          <w:p w14:paraId="10DB379B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 xml:space="preserve">20 </w:t>
            </w:r>
            <w:r w:rsidRPr="000648AE">
              <w:rPr>
                <w:rFonts w:cstheme="minorHAnsi"/>
                <w:szCs w:val="20"/>
              </w:rPr>
              <w:t>÷ 30 m/s; jsou požadována vhodná opatření</w:t>
            </w:r>
          </w:p>
        </w:tc>
      </w:tr>
      <w:tr w:rsidR="00980A5A" w:rsidRPr="000648AE" w14:paraId="1CF98712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6950167E" w14:textId="77777777" w:rsidR="00980A5A" w:rsidRPr="000648AE" w:rsidRDefault="00980A5A" w:rsidP="00AD72D0">
            <w:pPr>
              <w:contextualSpacing/>
              <w:jc w:val="center"/>
              <w:rPr>
                <w:b/>
                <w:szCs w:val="20"/>
              </w:rPr>
            </w:pPr>
            <w:r w:rsidRPr="000648AE">
              <w:rPr>
                <w:b/>
                <w:szCs w:val="20"/>
              </w:rPr>
              <w:t>B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407BBFD5" w14:textId="77777777" w:rsidR="00980A5A" w:rsidRPr="000648AE" w:rsidRDefault="00980A5A" w:rsidP="00AD72D0">
            <w:pPr>
              <w:contextualSpacing/>
              <w:rPr>
                <w:b/>
                <w:szCs w:val="20"/>
              </w:rPr>
            </w:pPr>
            <w:r w:rsidRPr="000648AE">
              <w:rPr>
                <w:b/>
                <w:szCs w:val="20"/>
              </w:rPr>
              <w:t>VYUŽITÍ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667B22F9" w14:textId="77777777" w:rsidR="00980A5A" w:rsidRPr="000648AE" w:rsidRDefault="00980A5A" w:rsidP="00AD72D0">
            <w:pPr>
              <w:contextualSpacing/>
              <w:rPr>
                <w:b/>
                <w:szCs w:val="20"/>
              </w:rPr>
            </w:pPr>
          </w:p>
        </w:tc>
      </w:tr>
      <w:tr w:rsidR="00980A5A" w:rsidRPr="000648AE" w14:paraId="71030578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2BBF847F" w14:textId="77777777" w:rsidR="00980A5A" w:rsidRPr="000648AE" w:rsidRDefault="00980A5A" w:rsidP="00AD72D0">
            <w:pPr>
              <w:contextualSpacing/>
              <w:jc w:val="center"/>
              <w:rPr>
                <w:szCs w:val="20"/>
              </w:rPr>
            </w:pPr>
            <w:r w:rsidRPr="000648AE">
              <w:rPr>
                <w:szCs w:val="20"/>
              </w:rPr>
              <w:t>BA1</w:t>
            </w:r>
          </w:p>
        </w:tc>
        <w:tc>
          <w:tcPr>
            <w:tcW w:w="3827" w:type="dxa"/>
            <w:vAlign w:val="center"/>
          </w:tcPr>
          <w:p w14:paraId="6D4AD67F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Schopnost osob</w:t>
            </w:r>
          </w:p>
        </w:tc>
        <w:tc>
          <w:tcPr>
            <w:tcW w:w="4820" w:type="dxa"/>
          </w:tcPr>
          <w:p w14:paraId="6B13C896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nepoučené osoby (laici)</w:t>
            </w:r>
          </w:p>
        </w:tc>
      </w:tr>
      <w:tr w:rsidR="00980A5A" w:rsidRPr="000648AE" w14:paraId="5EA3E034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1BF5CADA" w14:textId="77777777" w:rsidR="00980A5A" w:rsidRPr="000648AE" w:rsidRDefault="00980A5A" w:rsidP="00AD72D0">
            <w:pPr>
              <w:contextualSpacing/>
              <w:jc w:val="center"/>
              <w:rPr>
                <w:b/>
                <w:szCs w:val="20"/>
              </w:rPr>
            </w:pPr>
            <w:r w:rsidRPr="000648AE">
              <w:rPr>
                <w:b/>
                <w:szCs w:val="20"/>
              </w:rPr>
              <w:t>BC3</w:t>
            </w:r>
          </w:p>
        </w:tc>
        <w:tc>
          <w:tcPr>
            <w:tcW w:w="3827" w:type="dxa"/>
            <w:vAlign w:val="center"/>
          </w:tcPr>
          <w:p w14:paraId="3F73C338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Dotyk osob s potenciálem země</w:t>
            </w:r>
          </w:p>
        </w:tc>
        <w:tc>
          <w:tcPr>
            <w:tcW w:w="4820" w:type="dxa"/>
          </w:tcPr>
          <w:p w14:paraId="571513C2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častý kontakt osob s potenciálem země</w:t>
            </w:r>
          </w:p>
        </w:tc>
      </w:tr>
      <w:tr w:rsidR="00980A5A" w:rsidRPr="000648AE" w14:paraId="6CCA1E4B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4FDD05DA" w14:textId="77777777" w:rsidR="00980A5A" w:rsidRPr="000648AE" w:rsidRDefault="00980A5A" w:rsidP="00AD72D0">
            <w:pPr>
              <w:contextualSpacing/>
              <w:jc w:val="center"/>
              <w:rPr>
                <w:bCs/>
                <w:szCs w:val="20"/>
              </w:rPr>
            </w:pPr>
            <w:r w:rsidRPr="000648AE">
              <w:rPr>
                <w:bCs/>
                <w:szCs w:val="20"/>
              </w:rPr>
              <w:t>BD1</w:t>
            </w:r>
          </w:p>
        </w:tc>
        <w:tc>
          <w:tcPr>
            <w:tcW w:w="3827" w:type="dxa"/>
            <w:vAlign w:val="center"/>
          </w:tcPr>
          <w:p w14:paraId="6D3669AA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Podmínky úniku v případě nebezpečí</w:t>
            </w:r>
          </w:p>
        </w:tc>
        <w:tc>
          <w:tcPr>
            <w:tcW w:w="4820" w:type="dxa"/>
          </w:tcPr>
          <w:p w14:paraId="5B80870E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malá hustota obsazení, snadné podmínky pro únik</w:t>
            </w:r>
          </w:p>
        </w:tc>
      </w:tr>
      <w:tr w:rsidR="00980A5A" w:rsidRPr="000648AE" w14:paraId="2E7F3B60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20F906E7" w14:textId="77777777" w:rsidR="00980A5A" w:rsidRPr="000648AE" w:rsidRDefault="00980A5A" w:rsidP="00AD72D0">
            <w:pPr>
              <w:contextualSpacing/>
              <w:jc w:val="center"/>
              <w:rPr>
                <w:szCs w:val="20"/>
              </w:rPr>
            </w:pPr>
            <w:r w:rsidRPr="000648AE">
              <w:rPr>
                <w:szCs w:val="20"/>
              </w:rPr>
              <w:t>BE1</w:t>
            </w:r>
          </w:p>
        </w:tc>
        <w:tc>
          <w:tcPr>
            <w:tcW w:w="3827" w:type="dxa"/>
            <w:vAlign w:val="center"/>
          </w:tcPr>
          <w:p w14:paraId="0C8A95E0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Zpracovávané nebo skladované látky</w:t>
            </w:r>
          </w:p>
        </w:tc>
        <w:tc>
          <w:tcPr>
            <w:tcW w:w="4820" w:type="dxa"/>
          </w:tcPr>
          <w:p w14:paraId="3BA47091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bez významného nebezpečí</w:t>
            </w:r>
          </w:p>
        </w:tc>
      </w:tr>
      <w:tr w:rsidR="00980A5A" w:rsidRPr="000648AE" w14:paraId="54A5B798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62159D67" w14:textId="77777777" w:rsidR="00980A5A" w:rsidRPr="000648AE" w:rsidRDefault="00980A5A" w:rsidP="00AD72D0">
            <w:pPr>
              <w:contextualSpacing/>
              <w:jc w:val="center"/>
              <w:rPr>
                <w:b/>
                <w:szCs w:val="20"/>
              </w:rPr>
            </w:pPr>
            <w:r w:rsidRPr="000648AE">
              <w:rPr>
                <w:b/>
                <w:szCs w:val="20"/>
              </w:rPr>
              <w:t>C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724455DA" w14:textId="77777777" w:rsidR="00980A5A" w:rsidRPr="000648AE" w:rsidRDefault="00980A5A" w:rsidP="00AD72D0">
            <w:pPr>
              <w:contextualSpacing/>
              <w:rPr>
                <w:b/>
                <w:szCs w:val="20"/>
              </w:rPr>
            </w:pPr>
            <w:r w:rsidRPr="000648AE">
              <w:rPr>
                <w:b/>
                <w:szCs w:val="20"/>
              </w:rPr>
              <w:t>KONSTRUKCE BUDOV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429E7971" w14:textId="77777777" w:rsidR="00980A5A" w:rsidRPr="000648AE" w:rsidRDefault="00980A5A" w:rsidP="00AD72D0">
            <w:pPr>
              <w:contextualSpacing/>
              <w:rPr>
                <w:b/>
                <w:szCs w:val="20"/>
              </w:rPr>
            </w:pPr>
          </w:p>
        </w:tc>
      </w:tr>
      <w:tr w:rsidR="00980A5A" w:rsidRPr="00C219DF" w14:paraId="4CC746B7" w14:textId="77777777" w:rsidTr="00AD72D0">
        <w:tblPrEx>
          <w:jc w:val="left"/>
        </w:tblPrEx>
        <w:trPr>
          <w:trHeight w:val="20"/>
        </w:trPr>
        <w:tc>
          <w:tcPr>
            <w:tcW w:w="965" w:type="dxa"/>
            <w:vAlign w:val="center"/>
          </w:tcPr>
          <w:p w14:paraId="7481305C" w14:textId="77777777" w:rsidR="00980A5A" w:rsidRPr="000648AE" w:rsidRDefault="00980A5A" w:rsidP="00AD72D0">
            <w:pPr>
              <w:contextualSpacing/>
              <w:jc w:val="center"/>
              <w:rPr>
                <w:szCs w:val="20"/>
              </w:rPr>
            </w:pPr>
            <w:r w:rsidRPr="000648AE">
              <w:rPr>
                <w:szCs w:val="20"/>
              </w:rPr>
              <w:t>CA1</w:t>
            </w:r>
          </w:p>
        </w:tc>
        <w:tc>
          <w:tcPr>
            <w:tcW w:w="3827" w:type="dxa"/>
            <w:vAlign w:val="center"/>
          </w:tcPr>
          <w:p w14:paraId="1B293A14" w14:textId="77777777" w:rsidR="00980A5A" w:rsidRPr="000648AE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Stavební materiály</w:t>
            </w:r>
          </w:p>
        </w:tc>
        <w:tc>
          <w:tcPr>
            <w:tcW w:w="4820" w:type="dxa"/>
          </w:tcPr>
          <w:p w14:paraId="17A5C019" w14:textId="77777777" w:rsidR="00980A5A" w:rsidRPr="00C219DF" w:rsidRDefault="00980A5A" w:rsidP="00AD72D0">
            <w:pPr>
              <w:contextualSpacing/>
              <w:rPr>
                <w:szCs w:val="20"/>
              </w:rPr>
            </w:pPr>
            <w:r w:rsidRPr="000648AE">
              <w:rPr>
                <w:szCs w:val="20"/>
              </w:rPr>
              <w:t>normální</w:t>
            </w:r>
          </w:p>
        </w:tc>
      </w:tr>
      <w:tr w:rsidR="00980A5A" w:rsidRPr="00C219DF" w14:paraId="6CAE6CB4" w14:textId="77777777" w:rsidTr="00AD72D0">
        <w:tblPrEx>
          <w:jc w:val="left"/>
        </w:tblPrEx>
        <w:trPr>
          <w:trHeight w:val="44"/>
        </w:trPr>
        <w:tc>
          <w:tcPr>
            <w:tcW w:w="965" w:type="dxa"/>
            <w:vAlign w:val="center"/>
          </w:tcPr>
          <w:p w14:paraId="13F0A6D6" w14:textId="77777777" w:rsidR="00980A5A" w:rsidRPr="00C219DF" w:rsidRDefault="00980A5A" w:rsidP="00AD72D0">
            <w:pPr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CB1</w:t>
            </w:r>
          </w:p>
        </w:tc>
        <w:tc>
          <w:tcPr>
            <w:tcW w:w="3827" w:type="dxa"/>
            <w:vAlign w:val="center"/>
          </w:tcPr>
          <w:p w14:paraId="123D16BE" w14:textId="77777777" w:rsidR="00980A5A" w:rsidRPr="00C219DF" w:rsidRDefault="00980A5A" w:rsidP="00AD72D0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Konstrukce budovy</w:t>
            </w:r>
          </w:p>
        </w:tc>
        <w:tc>
          <w:tcPr>
            <w:tcW w:w="4820" w:type="dxa"/>
          </w:tcPr>
          <w:p w14:paraId="4C9E36F0" w14:textId="77777777" w:rsidR="00980A5A" w:rsidRPr="00C219DF" w:rsidRDefault="00980A5A" w:rsidP="00AD72D0">
            <w:pPr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</w:tbl>
    <w:p w14:paraId="7A8D1538" w14:textId="77777777" w:rsidR="00980A5A" w:rsidRPr="00C219DF" w:rsidRDefault="00980A5A" w:rsidP="00980A5A">
      <w:pPr>
        <w:spacing w:before="200" w:after="200"/>
        <w:rPr>
          <w:b/>
          <w:szCs w:val="20"/>
        </w:rPr>
      </w:pPr>
      <w:r w:rsidRPr="00C219DF">
        <w:rPr>
          <w:b/>
          <w:szCs w:val="20"/>
        </w:rPr>
        <w:t>Rozhodnutí:</w:t>
      </w:r>
    </w:p>
    <w:p w14:paraId="117411D6" w14:textId="77777777" w:rsidR="00980A5A" w:rsidRDefault="00980A5A" w:rsidP="00980A5A">
      <w:pPr>
        <w:rPr>
          <w:b/>
          <w:bCs/>
          <w:szCs w:val="20"/>
        </w:rPr>
      </w:pPr>
      <w:r>
        <w:rPr>
          <w:szCs w:val="20"/>
        </w:rPr>
        <w:t xml:space="preserve">V pojetí ČSN EN 61140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 xml:space="preserve">. 3, čl. 4.4 se jedná o prostory, které </w:t>
      </w:r>
      <w:r w:rsidRPr="003F3EC3">
        <w:rPr>
          <w:b/>
          <w:bCs/>
          <w:szCs w:val="20"/>
        </w:rPr>
        <w:t>nezvyšují</w:t>
      </w:r>
      <w:r w:rsidRPr="008D77F2">
        <w:rPr>
          <w:b/>
          <w:bCs/>
          <w:szCs w:val="20"/>
        </w:rPr>
        <w:t xml:space="preserve"> nebezpečí úrazu elektrickým proudem</w:t>
      </w:r>
      <w:r>
        <w:rPr>
          <w:b/>
          <w:bCs/>
          <w:szCs w:val="20"/>
        </w:rPr>
        <w:t xml:space="preserve"> pouze za podmínky</w:t>
      </w:r>
      <w:r>
        <w:rPr>
          <w:szCs w:val="20"/>
        </w:rPr>
        <w:t xml:space="preserve">, že se s elektrickým zařízením bude manipulovat výhradně jen tehdy, je-li v daných prostorách zanedbatelná pravděpodobnost výskytu vody (vlhko, déšť, </w:t>
      </w:r>
      <w:proofErr w:type="gramStart"/>
      <w:r>
        <w:rPr>
          <w:szCs w:val="20"/>
        </w:rPr>
        <w:t>sníh,</w:t>
      </w:r>
      <w:proofErr w:type="gramEnd"/>
      <w:r>
        <w:rPr>
          <w:szCs w:val="20"/>
        </w:rPr>
        <w:t xml:space="preserve"> apod.). </w:t>
      </w:r>
      <w:r>
        <w:rPr>
          <w:b/>
          <w:bCs/>
          <w:szCs w:val="20"/>
        </w:rPr>
        <w:t>Při nesplnění této podmínky jde o prostory, které zvyšují nebezpečí úrazu elektrickým proudem.</w:t>
      </w:r>
    </w:p>
    <w:p w14:paraId="2CDD0866" w14:textId="77777777" w:rsidR="00980A5A" w:rsidRDefault="00980A5A" w:rsidP="00980A5A">
      <w:pPr>
        <w:rPr>
          <w:szCs w:val="20"/>
        </w:rPr>
      </w:pPr>
      <w:r>
        <w:rPr>
          <w:b/>
          <w:bCs/>
          <w:szCs w:val="20"/>
        </w:rPr>
        <w:t>Pro vnější vliv AN3 platí</w:t>
      </w:r>
      <w:r>
        <w:rPr>
          <w:szCs w:val="20"/>
        </w:rPr>
        <w:t>: Veškerý použitý elektroinstalační materiál musí být UV stabilní.</w:t>
      </w:r>
    </w:p>
    <w:p w14:paraId="4D37EA2F" w14:textId="11E8F7AD" w:rsidR="00B514BA" w:rsidRDefault="00980A5A" w:rsidP="00980A5A">
      <w:pPr>
        <w:rPr>
          <w:szCs w:val="20"/>
        </w:rPr>
      </w:pPr>
      <w:r>
        <w:rPr>
          <w:szCs w:val="20"/>
        </w:rPr>
        <w:t xml:space="preserve">Při osazení nouzových svítidel v těchto prostorách je nutno respektovat Přílohu A ČSN EN 60598-2-22 </w:t>
      </w:r>
      <w:proofErr w:type="spellStart"/>
      <w:r>
        <w:rPr>
          <w:szCs w:val="20"/>
        </w:rPr>
        <w:t>ed</w:t>
      </w:r>
      <w:proofErr w:type="spellEnd"/>
      <w:r>
        <w:rPr>
          <w:szCs w:val="20"/>
        </w:rPr>
        <w:t>. 2, dle níž musí být trvalá teplota okolí článků uvnitř nouzových svítidel s integrovanou baterií minimálně 5</w:t>
      </w:r>
      <w:r w:rsidRPr="00B926BD">
        <w:rPr>
          <w:szCs w:val="20"/>
        </w:rPr>
        <w:t xml:space="preserve"> °C</w:t>
      </w:r>
      <w:r>
        <w:rPr>
          <w:szCs w:val="20"/>
        </w:rPr>
        <w:t xml:space="preserve">. </w:t>
      </w:r>
    </w:p>
    <w:sectPr w:rsidR="00B514BA" w:rsidSect="00827F5C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08584" w14:textId="77777777" w:rsidR="00D545CC" w:rsidRDefault="00D545CC" w:rsidP="00075175">
      <w:pPr>
        <w:spacing w:after="0" w:line="240" w:lineRule="auto"/>
      </w:pPr>
      <w:r>
        <w:separator/>
      </w:r>
    </w:p>
  </w:endnote>
  <w:endnote w:type="continuationSeparator" w:id="0">
    <w:p w14:paraId="4569B256" w14:textId="77777777" w:rsidR="00D545CC" w:rsidRDefault="00D545CC" w:rsidP="00075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7A14F" w14:textId="4044C323" w:rsidR="00827F5C" w:rsidRPr="00075175" w:rsidRDefault="00827F5C" w:rsidP="00075175">
    <w:pPr>
      <w:pStyle w:val="Zpat"/>
      <w:pBdr>
        <w:top w:val="single" w:sz="4" w:space="1" w:color="808080" w:themeColor="background1" w:themeShade="80"/>
      </w:pBdr>
      <w:tabs>
        <w:tab w:val="right" w:pos="14292"/>
      </w:tabs>
      <w:rPr>
        <w:color w:val="808080" w:themeColor="background1" w:themeShade="80"/>
        <w:sz w:val="18"/>
        <w:szCs w:val="18"/>
      </w:rPr>
    </w:pPr>
    <w:r w:rsidRPr="00E7158F">
      <w:rPr>
        <w:color w:val="808080" w:themeColor="background1" w:themeShade="80"/>
        <w:sz w:val="18"/>
        <w:szCs w:val="18"/>
      </w:rPr>
      <w:t>PROTOKOL O URČENÍ VNĚJŠÍCH VLIVŮ</w:t>
    </w:r>
    <w:r w:rsidRPr="00E7158F">
      <w:rPr>
        <w:color w:val="808080" w:themeColor="background1" w:themeShade="80"/>
        <w:sz w:val="18"/>
        <w:szCs w:val="18"/>
      </w:rPr>
      <w:tab/>
      <w:t xml:space="preserve">Číslo dokumentu: </w:t>
    </w:r>
    <w:r w:rsidR="00523116">
      <w:rPr>
        <w:b/>
        <w:color w:val="808080" w:themeColor="background1" w:themeShade="80"/>
        <w:sz w:val="18"/>
        <w:szCs w:val="18"/>
      </w:rPr>
      <w:t>2025038_protokol_VV</w:t>
    </w:r>
    <w:r w:rsidRPr="00E7158F">
      <w:rPr>
        <w:color w:val="808080" w:themeColor="background1" w:themeShade="80"/>
        <w:sz w:val="18"/>
        <w:szCs w:val="18"/>
      </w:rPr>
      <w:tab/>
    </w:r>
    <w:r w:rsidRPr="00E7158F">
      <w:rPr>
        <w:rStyle w:val="slostrnky"/>
        <w:color w:val="808080" w:themeColor="background1" w:themeShade="80"/>
        <w:sz w:val="18"/>
        <w:szCs w:val="18"/>
      </w:rPr>
      <w:fldChar w:fldCharType="begin"/>
    </w:r>
    <w:r w:rsidRPr="00E7158F">
      <w:rPr>
        <w:rStyle w:val="slostrnky"/>
        <w:color w:val="808080" w:themeColor="background1" w:themeShade="80"/>
        <w:sz w:val="18"/>
        <w:szCs w:val="18"/>
      </w:rPr>
      <w:instrText xml:space="preserve"> PAGE </w:instrText>
    </w:r>
    <w:r w:rsidRPr="00E7158F">
      <w:rPr>
        <w:rStyle w:val="slostrnky"/>
        <w:color w:val="808080" w:themeColor="background1" w:themeShade="80"/>
        <w:sz w:val="18"/>
        <w:szCs w:val="18"/>
      </w:rPr>
      <w:fldChar w:fldCharType="separate"/>
    </w:r>
    <w:r>
      <w:rPr>
        <w:rStyle w:val="slostrnky"/>
        <w:color w:val="808080" w:themeColor="background1" w:themeShade="80"/>
        <w:sz w:val="18"/>
        <w:szCs w:val="18"/>
      </w:rPr>
      <w:t>5</w:t>
    </w:r>
    <w:r w:rsidRPr="00E7158F">
      <w:rPr>
        <w:rStyle w:val="slostrnky"/>
        <w:color w:val="808080" w:themeColor="background1" w:themeShade="80"/>
        <w:sz w:val="18"/>
        <w:szCs w:val="18"/>
      </w:rPr>
      <w:fldChar w:fldCharType="end"/>
    </w:r>
    <w:r w:rsidRPr="00E7158F">
      <w:rPr>
        <w:rStyle w:val="slostrnky"/>
        <w:color w:val="808080" w:themeColor="background1" w:themeShade="80"/>
        <w:sz w:val="18"/>
        <w:szCs w:val="18"/>
      </w:rPr>
      <w:t xml:space="preserve"> / </w:t>
    </w:r>
    <w:r w:rsidRPr="00E7158F">
      <w:rPr>
        <w:rStyle w:val="slostrnky"/>
        <w:color w:val="808080" w:themeColor="background1" w:themeShade="80"/>
        <w:sz w:val="18"/>
        <w:szCs w:val="18"/>
      </w:rPr>
      <w:fldChar w:fldCharType="begin"/>
    </w:r>
    <w:r w:rsidRPr="00E7158F">
      <w:rPr>
        <w:rStyle w:val="slostrnky"/>
        <w:color w:val="808080" w:themeColor="background1" w:themeShade="80"/>
        <w:sz w:val="18"/>
        <w:szCs w:val="18"/>
      </w:rPr>
      <w:instrText xml:space="preserve"> NUMPAGES </w:instrText>
    </w:r>
    <w:r w:rsidRPr="00E7158F">
      <w:rPr>
        <w:rStyle w:val="slostrnky"/>
        <w:color w:val="808080" w:themeColor="background1" w:themeShade="80"/>
        <w:sz w:val="18"/>
        <w:szCs w:val="18"/>
      </w:rPr>
      <w:fldChar w:fldCharType="separate"/>
    </w:r>
    <w:r>
      <w:rPr>
        <w:rStyle w:val="slostrnky"/>
        <w:color w:val="808080" w:themeColor="background1" w:themeShade="80"/>
        <w:sz w:val="18"/>
        <w:szCs w:val="18"/>
      </w:rPr>
      <w:t>38</w:t>
    </w:r>
    <w:r w:rsidRPr="00E7158F">
      <w:rPr>
        <w:rStyle w:val="slostrnky"/>
        <w:color w:val="808080" w:themeColor="background1" w:themeShade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7EF40" w14:textId="77777777" w:rsidR="00D545CC" w:rsidRDefault="00D545CC" w:rsidP="00075175">
      <w:pPr>
        <w:spacing w:after="0" w:line="240" w:lineRule="auto"/>
      </w:pPr>
      <w:r>
        <w:separator/>
      </w:r>
    </w:p>
  </w:footnote>
  <w:footnote w:type="continuationSeparator" w:id="0">
    <w:p w14:paraId="6B616E62" w14:textId="77777777" w:rsidR="00D545CC" w:rsidRDefault="00D545CC" w:rsidP="00075175">
      <w:pPr>
        <w:spacing w:after="0" w:line="240" w:lineRule="auto"/>
      </w:pPr>
      <w:r>
        <w:continuationSeparator/>
      </w:r>
    </w:p>
  </w:footnote>
  <w:footnote w:id="1">
    <w:p w14:paraId="7F54827A" w14:textId="77777777" w:rsidR="00980A5A" w:rsidRDefault="00980A5A" w:rsidP="00980A5A">
      <w:pPr>
        <w:pStyle w:val="Textpoznpodarou"/>
      </w:pPr>
      <w:r>
        <w:rPr>
          <w:rStyle w:val="Znakapoznpodarou"/>
        </w:rPr>
        <w:footnoteRef/>
      </w:r>
      <w:r>
        <w:t xml:space="preserve"> Srov. ČSN 33 2000-7-712 ed. 2, čl. 712.512.102: „</w:t>
      </w:r>
      <w:r w:rsidRPr="00052AD2">
        <w:rPr>
          <w:i/>
          <w:iCs/>
        </w:rPr>
        <w:t xml:space="preserve">Kryty elektrických zařízení instalované ve venkovním prostředí nesmí mít stupeň ochrany menší než </w:t>
      </w:r>
      <w:r w:rsidRPr="00052AD2">
        <w:rPr>
          <w:b/>
          <w:bCs/>
          <w:i/>
          <w:iCs/>
        </w:rPr>
        <w:t>IP44</w:t>
      </w:r>
      <w:r w:rsidRPr="00052AD2">
        <w:rPr>
          <w:i/>
          <w:iCs/>
        </w:rPr>
        <w:t xml:space="preserve"> v souladu s EN 60529 (…)</w:t>
      </w:r>
      <w:r>
        <w:t>“</w:t>
      </w:r>
    </w:p>
  </w:footnote>
  <w:footnote w:id="2">
    <w:p w14:paraId="681E72B6" w14:textId="77777777" w:rsidR="00980A5A" w:rsidRDefault="00980A5A" w:rsidP="00980A5A">
      <w:pPr>
        <w:pStyle w:val="Textpoznpodarou"/>
      </w:pPr>
      <w:r>
        <w:rPr>
          <w:rStyle w:val="Znakapoznpodarou"/>
        </w:rPr>
        <w:footnoteRef/>
      </w:r>
      <w:r>
        <w:t xml:space="preserve"> Srov. ČSN 33 2000-7-714 ed. 2, čl. 714.512.2.1: „</w:t>
      </w:r>
      <w:r w:rsidRPr="00052AD2">
        <w:rPr>
          <w:i/>
          <w:iCs/>
        </w:rPr>
        <w:t xml:space="preserve">(…) minimálními požadavky: přítomnost vody: </w:t>
      </w:r>
      <w:r w:rsidRPr="000755AF">
        <w:rPr>
          <w:b/>
          <w:bCs/>
          <w:i/>
          <w:iCs/>
        </w:rPr>
        <w:t>AD3</w:t>
      </w:r>
      <w:r w:rsidRPr="00052AD2">
        <w:rPr>
          <w:i/>
          <w:iCs/>
        </w:rPr>
        <w:t xml:space="preserve"> (vodní tříšť)</w:t>
      </w:r>
      <w:r>
        <w:t>“</w:t>
      </w:r>
    </w:p>
  </w:footnote>
  <w:footnote w:id="3">
    <w:p w14:paraId="73239BA3" w14:textId="77777777" w:rsidR="00980A5A" w:rsidRDefault="00980A5A" w:rsidP="00980A5A">
      <w:pPr>
        <w:pStyle w:val="Textpoznpodarou"/>
      </w:pPr>
      <w:r>
        <w:rPr>
          <w:rStyle w:val="Znakapoznpodarou"/>
        </w:rPr>
        <w:footnoteRef/>
      </w:r>
      <w:r>
        <w:t xml:space="preserve"> Srov. ČSN 33 2000-7-722 ed. 3, čl. 722.512.101: „</w:t>
      </w:r>
      <w:r w:rsidRPr="00052AD2">
        <w:rPr>
          <w:i/>
          <w:iCs/>
        </w:rPr>
        <w:t xml:space="preserve">Při instalaci venku, musí mít zvolené zařízení ochranu krytem alespoň </w:t>
      </w:r>
      <w:r w:rsidRPr="000755AF">
        <w:rPr>
          <w:b/>
          <w:bCs/>
          <w:i/>
          <w:iCs/>
        </w:rPr>
        <w:t>IPX4</w:t>
      </w:r>
      <w:r w:rsidRPr="00052AD2">
        <w:rPr>
          <w:i/>
          <w:iCs/>
        </w:rPr>
        <w:t xml:space="preserve"> z důvodu ochrany před stříkající vodou (AD4).</w:t>
      </w:r>
      <w:r>
        <w:t>“</w:t>
      </w:r>
    </w:p>
  </w:footnote>
  <w:footnote w:id="4">
    <w:p w14:paraId="3816AF28" w14:textId="77777777" w:rsidR="00980A5A" w:rsidRDefault="00980A5A" w:rsidP="00980A5A">
      <w:pPr>
        <w:pStyle w:val="Textpoznpodarou"/>
      </w:pPr>
      <w:r>
        <w:rPr>
          <w:rStyle w:val="Znakapoznpodarou"/>
        </w:rPr>
        <w:footnoteRef/>
      </w:r>
      <w:r>
        <w:t xml:space="preserve"> Dle třídy 4S2 dle ČSN EN 60721-3-4, čl. A.3.4: „</w:t>
      </w:r>
      <w:r w:rsidRPr="00052AD2">
        <w:rPr>
          <w:i/>
          <w:iCs/>
        </w:rPr>
        <w:t>(…) místa se zdroji prachu včetně městských oblastí (…)</w:t>
      </w:r>
      <w:r>
        <w:t>“</w:t>
      </w:r>
    </w:p>
  </w:footnote>
  <w:footnote w:id="5">
    <w:p w14:paraId="594A5D95" w14:textId="77777777" w:rsidR="00980A5A" w:rsidRDefault="00980A5A" w:rsidP="00980A5A">
      <w:pPr>
        <w:pStyle w:val="Textpoznpodarou"/>
      </w:pPr>
      <w:r>
        <w:rPr>
          <w:rStyle w:val="Znakapoznpodarou"/>
        </w:rPr>
        <w:footnoteRef/>
      </w:r>
      <w:r>
        <w:t xml:space="preserve"> Dle třídy 4C2 dle ČSN EN 60721-3-4, čl. A.3.3: „</w:t>
      </w:r>
      <w:r w:rsidRPr="00052AD2">
        <w:rPr>
          <w:i/>
          <w:iCs/>
        </w:rPr>
        <w:t>(…) normální úrovně znečištění, které lze očekávat v městských oblastech (…)</w:t>
      </w:r>
      <w:r>
        <w:t>“</w:t>
      </w:r>
    </w:p>
  </w:footnote>
  <w:footnote w:id="6">
    <w:p w14:paraId="14F504FC" w14:textId="77777777" w:rsidR="00980A5A" w:rsidRDefault="00980A5A" w:rsidP="00980A5A">
      <w:pPr>
        <w:pStyle w:val="Textpoznpodarou"/>
      </w:pPr>
      <w:r>
        <w:rPr>
          <w:rStyle w:val="Znakapoznpodarou"/>
        </w:rPr>
        <w:footnoteRef/>
      </w:r>
      <w:r>
        <w:t xml:space="preserve"> Dle mapy větrných oblastí v ČSN EN 1991-1-4 ed.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F5CEF"/>
    <w:multiLevelType w:val="hybridMultilevel"/>
    <w:tmpl w:val="15A0D8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F133B0"/>
    <w:multiLevelType w:val="hybridMultilevel"/>
    <w:tmpl w:val="4372D508"/>
    <w:lvl w:ilvl="0" w:tplc="9020AF18">
      <w:start w:val="1"/>
      <w:numFmt w:val="decimal"/>
      <w:suff w:val="space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35ABE"/>
    <w:multiLevelType w:val="hybridMultilevel"/>
    <w:tmpl w:val="7F4CEF98"/>
    <w:lvl w:ilvl="0" w:tplc="9020AF18">
      <w:start w:val="1"/>
      <w:numFmt w:val="decimal"/>
      <w:suff w:val="space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80B8D"/>
    <w:multiLevelType w:val="hybridMultilevel"/>
    <w:tmpl w:val="F1DC24AC"/>
    <w:lvl w:ilvl="0" w:tplc="9020AF18">
      <w:start w:val="1"/>
      <w:numFmt w:val="decimal"/>
      <w:suff w:val="space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610FF"/>
    <w:multiLevelType w:val="hybridMultilevel"/>
    <w:tmpl w:val="C9F0805A"/>
    <w:lvl w:ilvl="0" w:tplc="9020AF18">
      <w:start w:val="1"/>
      <w:numFmt w:val="decimal"/>
      <w:suff w:val="space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9694B"/>
    <w:multiLevelType w:val="hybridMultilevel"/>
    <w:tmpl w:val="AA8C5174"/>
    <w:lvl w:ilvl="0" w:tplc="9020AF18">
      <w:start w:val="1"/>
      <w:numFmt w:val="decimal"/>
      <w:suff w:val="space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B6B99"/>
    <w:multiLevelType w:val="hybridMultilevel"/>
    <w:tmpl w:val="517455E0"/>
    <w:lvl w:ilvl="0" w:tplc="9020AF18">
      <w:start w:val="1"/>
      <w:numFmt w:val="decimal"/>
      <w:suff w:val="space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E704E"/>
    <w:multiLevelType w:val="hybridMultilevel"/>
    <w:tmpl w:val="2F60D0F6"/>
    <w:lvl w:ilvl="0" w:tplc="9020AF18">
      <w:start w:val="1"/>
      <w:numFmt w:val="decimal"/>
      <w:suff w:val="space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408829">
    <w:abstractNumId w:val="1"/>
  </w:num>
  <w:num w:numId="2" w16cid:durableId="1662388460">
    <w:abstractNumId w:val="5"/>
  </w:num>
  <w:num w:numId="3" w16cid:durableId="473062659">
    <w:abstractNumId w:val="0"/>
  </w:num>
  <w:num w:numId="4" w16cid:durableId="1560170788">
    <w:abstractNumId w:val="2"/>
  </w:num>
  <w:num w:numId="5" w16cid:durableId="535971699">
    <w:abstractNumId w:val="3"/>
  </w:num>
  <w:num w:numId="6" w16cid:durableId="867644396">
    <w:abstractNumId w:val="4"/>
  </w:num>
  <w:num w:numId="7" w16cid:durableId="1041368099">
    <w:abstractNumId w:val="6"/>
  </w:num>
  <w:num w:numId="8" w16cid:durableId="9023303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35"/>
    <w:rsid w:val="0000585D"/>
    <w:rsid w:val="00024AAE"/>
    <w:rsid w:val="00043CE8"/>
    <w:rsid w:val="00052AD2"/>
    <w:rsid w:val="00075175"/>
    <w:rsid w:val="000755AF"/>
    <w:rsid w:val="001D5D08"/>
    <w:rsid w:val="00203D11"/>
    <w:rsid w:val="002100FD"/>
    <w:rsid w:val="0029764E"/>
    <w:rsid w:val="002E51CE"/>
    <w:rsid w:val="002F351D"/>
    <w:rsid w:val="003102BF"/>
    <w:rsid w:val="00381B2B"/>
    <w:rsid w:val="003F3EC3"/>
    <w:rsid w:val="003F424C"/>
    <w:rsid w:val="004D2576"/>
    <w:rsid w:val="00523116"/>
    <w:rsid w:val="005E010F"/>
    <w:rsid w:val="00602C38"/>
    <w:rsid w:val="00670464"/>
    <w:rsid w:val="00670BE3"/>
    <w:rsid w:val="0068439E"/>
    <w:rsid w:val="006A2CCB"/>
    <w:rsid w:val="00703D7D"/>
    <w:rsid w:val="0072782B"/>
    <w:rsid w:val="00757FCA"/>
    <w:rsid w:val="00770D95"/>
    <w:rsid w:val="0079037E"/>
    <w:rsid w:val="00790A6A"/>
    <w:rsid w:val="00797C42"/>
    <w:rsid w:val="007A0AAB"/>
    <w:rsid w:val="007F55FE"/>
    <w:rsid w:val="00807BCC"/>
    <w:rsid w:val="00827F5C"/>
    <w:rsid w:val="008B6E94"/>
    <w:rsid w:val="008C2676"/>
    <w:rsid w:val="008D77F2"/>
    <w:rsid w:val="00963AF3"/>
    <w:rsid w:val="00980A5A"/>
    <w:rsid w:val="00A21CAB"/>
    <w:rsid w:val="00A242D2"/>
    <w:rsid w:val="00A26579"/>
    <w:rsid w:val="00AC285D"/>
    <w:rsid w:val="00B060FE"/>
    <w:rsid w:val="00B155E3"/>
    <w:rsid w:val="00B35E0B"/>
    <w:rsid w:val="00B514BA"/>
    <w:rsid w:val="00B926BD"/>
    <w:rsid w:val="00C35135"/>
    <w:rsid w:val="00C427B8"/>
    <w:rsid w:val="00C77EAE"/>
    <w:rsid w:val="00D05427"/>
    <w:rsid w:val="00D545CC"/>
    <w:rsid w:val="00D744F3"/>
    <w:rsid w:val="00D8228B"/>
    <w:rsid w:val="00D83B0B"/>
    <w:rsid w:val="00DB120E"/>
    <w:rsid w:val="00DB28FF"/>
    <w:rsid w:val="00DD5FB0"/>
    <w:rsid w:val="00E132D2"/>
    <w:rsid w:val="00E32F15"/>
    <w:rsid w:val="00E674B9"/>
    <w:rsid w:val="00F24ADD"/>
    <w:rsid w:val="00F2784D"/>
    <w:rsid w:val="00FD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63F215"/>
  <w15:chartTrackingRefBased/>
  <w15:docId w15:val="{6B033794-1A4C-4109-A5A1-ACAB90F2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5135"/>
    <w:rPr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1CAB"/>
    <w:pPr>
      <w:spacing w:after="120" w:line="276" w:lineRule="auto"/>
      <w:ind w:left="737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99"/>
    <w:rsid w:val="00A21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75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5175"/>
    <w:rPr>
      <w:sz w:val="20"/>
    </w:rPr>
  </w:style>
  <w:style w:type="paragraph" w:styleId="Zpat">
    <w:name w:val="footer"/>
    <w:basedOn w:val="Normln"/>
    <w:link w:val="ZpatChar"/>
    <w:unhideWhenUsed/>
    <w:rsid w:val="00075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5175"/>
    <w:rPr>
      <w:sz w:val="20"/>
    </w:rPr>
  </w:style>
  <w:style w:type="character" w:styleId="slostrnky">
    <w:name w:val="page number"/>
    <w:basedOn w:val="Standardnpsmoodstavce"/>
    <w:rsid w:val="00075175"/>
  </w:style>
  <w:style w:type="paragraph" w:styleId="Textpoznpodarou">
    <w:name w:val="footnote text"/>
    <w:basedOn w:val="Normln"/>
    <w:link w:val="TextpoznpodarouChar"/>
    <w:uiPriority w:val="99"/>
    <w:unhideWhenUsed/>
    <w:rsid w:val="00052AD2"/>
    <w:pPr>
      <w:spacing w:after="60" w:line="240" w:lineRule="auto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2AD2"/>
    <w:rPr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D5D08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827F5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27F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9905C-C8CD-473F-9CE2-682A7DB33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778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Hlavatý</dc:creator>
  <cp:keywords/>
  <dc:description/>
  <cp:lastModifiedBy>Aleš Stec</cp:lastModifiedBy>
  <cp:revision>50</cp:revision>
  <cp:lastPrinted>2024-02-26T12:22:00Z</cp:lastPrinted>
  <dcterms:created xsi:type="dcterms:W3CDTF">2020-10-20T10:11:00Z</dcterms:created>
  <dcterms:modified xsi:type="dcterms:W3CDTF">2025-04-14T09:14:00Z</dcterms:modified>
</cp:coreProperties>
</file>